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theme/themeOverride10.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theme/themeOverride12.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theme/themeOverride13.xml" ContentType="application/vnd.openxmlformats-officedocument.themeOverride+xml"/>
  <Override PartName="/word/charts/chart29.xml" ContentType="application/vnd.openxmlformats-officedocument.drawingml.chart+xml"/>
  <Override PartName="/word/theme/themeOverride14.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theme/themeOverride15.xml" ContentType="application/vnd.openxmlformats-officedocument.themeOverride+xml"/>
  <Override PartName="/word/charts/chart34.xml" ContentType="application/vnd.openxmlformats-officedocument.drawingml.chart+xml"/>
  <Override PartName="/word/theme/themeOverride16.xml" ContentType="application/vnd.openxmlformats-officedocument.themeOverride+xml"/>
  <Override PartName="/word/charts/chart35.xml" ContentType="application/vnd.openxmlformats-officedocument.drawingml.chart+xml"/>
  <Override PartName="/word/theme/themeOverride17.xml" ContentType="application/vnd.openxmlformats-officedocument.themeOverride+xml"/>
  <Override PartName="/word/charts/chart36.xml" ContentType="application/vnd.openxmlformats-officedocument.drawingml.chart+xml"/>
  <Override PartName="/word/theme/themeOverride18.xml" ContentType="application/vnd.openxmlformats-officedocument.themeOverride+xml"/>
  <Override PartName="/word/charts/chart37.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6C" w:rsidRPr="00396744" w:rsidRDefault="0004346C" w:rsidP="0004346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96744">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3459DB62" wp14:editId="764204A8">
            <wp:simplePos x="0" y="0"/>
            <wp:positionH relativeFrom="column">
              <wp:posOffset>2971800</wp:posOffset>
            </wp:positionH>
            <wp:positionV relativeFrom="paragraph">
              <wp:posOffset>-114300</wp:posOffset>
            </wp:positionV>
            <wp:extent cx="410210" cy="511810"/>
            <wp:effectExtent l="19050" t="0" r="8890" b="0"/>
            <wp:wrapNone/>
            <wp:docPr id="9"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9" cstate="print"/>
                    <a:srcRect/>
                    <a:stretch>
                      <a:fillRect/>
                    </a:stretch>
                  </pic:blipFill>
                  <pic:spPr bwMode="auto">
                    <a:xfrm>
                      <a:off x="0" y="0"/>
                      <a:ext cx="410210" cy="511810"/>
                    </a:xfrm>
                    <a:prstGeom prst="rect">
                      <a:avLst/>
                    </a:prstGeom>
                    <a:noFill/>
                    <a:ln w="9525">
                      <a:noFill/>
                      <a:miter lim="800000"/>
                      <a:headEnd/>
                      <a:tailEnd/>
                    </a:ln>
                  </pic:spPr>
                </pic:pic>
              </a:graphicData>
            </a:graphic>
          </wp:anchor>
        </w:drawing>
      </w:r>
    </w:p>
    <w:p w:rsidR="0004346C" w:rsidRPr="00396744" w:rsidRDefault="0004346C" w:rsidP="0004346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04346C" w:rsidRPr="00396744" w:rsidRDefault="0004346C" w:rsidP="0004346C">
      <w:pPr>
        <w:widowControl w:val="0"/>
        <w:pBdr>
          <w:bottom w:val="single" w:sz="4" w:space="1" w:color="0000FF"/>
        </w:pBdr>
        <w:autoSpaceDE w:val="0"/>
        <w:autoSpaceDN w:val="0"/>
        <w:adjustRightInd w:val="0"/>
        <w:spacing w:after="0" w:line="240" w:lineRule="auto"/>
        <w:jc w:val="center"/>
        <w:rPr>
          <w:rFonts w:ascii="Times New Roman" w:eastAsia="Times New Roman" w:hAnsi="Times New Roman" w:cs="Times New Roman"/>
          <w:b/>
          <w:color w:val="0000FF"/>
          <w:sz w:val="28"/>
          <w:szCs w:val="20"/>
          <w:lang w:eastAsia="ru-RU"/>
        </w:rPr>
      </w:pPr>
      <w:r w:rsidRPr="00396744">
        <w:rPr>
          <w:rFonts w:ascii="Times New Roman" w:eastAsia="Times New Roman" w:hAnsi="Times New Roman" w:cs="Times New Roman"/>
          <w:b/>
          <w:color w:val="0000FF"/>
          <w:sz w:val="28"/>
          <w:szCs w:val="20"/>
          <w:lang w:eastAsia="ru-RU"/>
        </w:rPr>
        <w:t>КОНТРОЛЬНО-СЧЕТНАЯ ПАЛАТА АМУРСКОЙ ОБЛАСТИ</w:t>
      </w:r>
    </w:p>
    <w:p w:rsidR="0004346C" w:rsidRPr="00396744" w:rsidRDefault="0004346C" w:rsidP="0004346C">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lang w:eastAsia="ru-RU"/>
        </w:rPr>
      </w:pPr>
      <w:r w:rsidRPr="00396744">
        <w:rPr>
          <w:rFonts w:ascii="Times New Roman" w:eastAsia="Times New Roman" w:hAnsi="Times New Roman" w:cs="Times New Roman"/>
          <w:color w:val="0000FF"/>
          <w:sz w:val="20"/>
          <w:szCs w:val="20"/>
          <w:lang w:eastAsia="ru-RU"/>
        </w:rPr>
        <w:t>ул. Ленина, 135, г. Благовещенск, Амурской обл., 675023,  тел./факс(4162) 22-44-70, 22-44-86,</w:t>
      </w:r>
    </w:p>
    <w:p w:rsidR="0004346C" w:rsidRPr="00396744" w:rsidRDefault="0004346C" w:rsidP="0004346C">
      <w:pPr>
        <w:widowControl w:val="0"/>
        <w:autoSpaceDE w:val="0"/>
        <w:autoSpaceDN w:val="0"/>
        <w:adjustRightInd w:val="0"/>
        <w:spacing w:after="0" w:line="240" w:lineRule="auto"/>
        <w:jc w:val="center"/>
        <w:rPr>
          <w:rFonts w:ascii="Times New Roman" w:eastAsia="Times New Roman" w:hAnsi="Times New Roman" w:cs="Times New Roman"/>
          <w:color w:val="0000FF"/>
          <w:sz w:val="20"/>
          <w:szCs w:val="20"/>
          <w:u w:val="single"/>
          <w:lang w:val="en-US" w:eastAsia="ru-RU"/>
        </w:rPr>
      </w:pPr>
      <w:r w:rsidRPr="00396744">
        <w:rPr>
          <w:rFonts w:ascii="Times New Roman" w:eastAsia="Times New Roman" w:hAnsi="Times New Roman" w:cs="Times New Roman"/>
          <w:color w:val="0000FF"/>
          <w:sz w:val="20"/>
          <w:szCs w:val="20"/>
          <w:lang w:val="en-US" w:eastAsia="ru-RU"/>
        </w:rPr>
        <w:t xml:space="preserve">E-mail: </w:t>
      </w:r>
      <w:hyperlink r:id="rId10" w:history="1">
        <w:r w:rsidRPr="00396744">
          <w:rPr>
            <w:rFonts w:ascii="Times New Roman" w:eastAsia="Times New Roman" w:hAnsi="Times New Roman" w:cs="Times New Roman"/>
            <w:color w:val="0000FF"/>
            <w:sz w:val="20"/>
            <w:szCs w:val="20"/>
            <w:u w:val="single"/>
            <w:lang w:val="en-US" w:eastAsia="ru-RU"/>
          </w:rPr>
          <w:t>kspamur@tsl.ru</w:t>
        </w:r>
      </w:hyperlink>
    </w:p>
    <w:p w:rsidR="0004346C" w:rsidRPr="00396744" w:rsidRDefault="0004346C" w:rsidP="0004346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04346C" w:rsidRPr="007E48C0" w:rsidRDefault="0004346C" w:rsidP="000434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396744">
        <w:rPr>
          <w:rFonts w:ascii="Times New Roman" w:eastAsia="Times New Roman" w:hAnsi="Times New Roman" w:cs="Times New Roman"/>
          <w:b/>
          <w:bCs/>
          <w:sz w:val="28"/>
          <w:szCs w:val="28"/>
          <w:lang w:eastAsia="ru-RU"/>
        </w:rPr>
        <w:t>Заключение</w:t>
      </w:r>
    </w:p>
    <w:p w:rsidR="0004346C" w:rsidRPr="00396744" w:rsidRDefault="0004346C" w:rsidP="0004346C">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396744">
        <w:rPr>
          <w:rFonts w:ascii="Times New Roman" w:eastAsia="Times New Roman" w:hAnsi="Times New Roman" w:cs="Times New Roman"/>
          <w:b/>
          <w:sz w:val="28"/>
          <w:szCs w:val="28"/>
          <w:lang w:eastAsia="ru-RU"/>
        </w:rPr>
        <w:t xml:space="preserve">на проект закона Амурской области </w:t>
      </w:r>
      <w:r w:rsidRPr="00396744">
        <w:rPr>
          <w:rFonts w:ascii="Times New Roman" w:eastAsia="Times New Roman" w:hAnsi="Times New Roman" w:cs="Times New Roman"/>
          <w:b/>
          <w:sz w:val="28"/>
          <w:szCs w:val="28"/>
          <w:lang w:eastAsia="ru-RU"/>
        </w:rPr>
        <w:br/>
        <w:t>«Об исполнении областного бюджета за 201</w:t>
      </w:r>
      <w:r>
        <w:rPr>
          <w:rFonts w:ascii="Times New Roman" w:eastAsia="Times New Roman" w:hAnsi="Times New Roman" w:cs="Times New Roman"/>
          <w:b/>
          <w:sz w:val="28"/>
          <w:szCs w:val="28"/>
          <w:lang w:eastAsia="ru-RU"/>
        </w:rPr>
        <w:t>7</w:t>
      </w:r>
      <w:r w:rsidRPr="00396744">
        <w:rPr>
          <w:rFonts w:ascii="Times New Roman" w:eastAsia="Times New Roman" w:hAnsi="Times New Roman" w:cs="Times New Roman"/>
          <w:b/>
          <w:sz w:val="28"/>
          <w:szCs w:val="28"/>
          <w:lang w:eastAsia="ru-RU"/>
        </w:rPr>
        <w:t xml:space="preserve"> год»</w:t>
      </w:r>
    </w:p>
    <w:p w:rsidR="0004346C" w:rsidRPr="00F13BFE" w:rsidRDefault="0004346C" w:rsidP="0004346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04346C" w:rsidRPr="00BD172C" w:rsidRDefault="0004346C" w:rsidP="000434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Заключение на проект закона Амурской области «Об исполнении областного бюджета за 201</w:t>
      </w:r>
      <w:r>
        <w:rPr>
          <w:rFonts w:ascii="Times New Roman" w:eastAsia="Times New Roman" w:hAnsi="Times New Roman" w:cs="Times New Roman"/>
          <w:sz w:val="24"/>
          <w:szCs w:val="24"/>
          <w:lang w:eastAsia="ru-RU"/>
        </w:rPr>
        <w:t>7</w:t>
      </w:r>
      <w:r w:rsidRPr="00F13BFE">
        <w:rPr>
          <w:rFonts w:ascii="Times New Roman" w:eastAsia="Times New Roman" w:hAnsi="Times New Roman" w:cs="Times New Roman"/>
          <w:sz w:val="24"/>
          <w:szCs w:val="24"/>
          <w:lang w:eastAsia="ru-RU"/>
        </w:rPr>
        <w:t xml:space="preserve"> год» подготовлено на основании результатов проверки годового отчета об исполнении областного бюджета за 201</w:t>
      </w:r>
      <w:r>
        <w:rPr>
          <w:rFonts w:ascii="Times New Roman" w:eastAsia="Times New Roman" w:hAnsi="Times New Roman" w:cs="Times New Roman"/>
          <w:sz w:val="24"/>
          <w:szCs w:val="24"/>
          <w:lang w:eastAsia="ru-RU"/>
        </w:rPr>
        <w:t>7</w:t>
      </w:r>
      <w:r w:rsidRPr="00F13BFE">
        <w:rPr>
          <w:rFonts w:ascii="Times New Roman" w:eastAsia="Times New Roman" w:hAnsi="Times New Roman" w:cs="Times New Roman"/>
          <w:sz w:val="24"/>
          <w:szCs w:val="24"/>
          <w:lang w:eastAsia="ru-RU"/>
        </w:rPr>
        <w:t xml:space="preserve"> год, проведенной в соответствии с Бюджетным кодексом Российской Федерации (статья 264.4), Уставом (основным Законом) Амурской области (статья 38), Законом </w:t>
      </w:r>
      <w:r w:rsidRPr="00BD172C">
        <w:rPr>
          <w:rFonts w:ascii="Times New Roman" w:eastAsia="Times New Roman" w:hAnsi="Times New Roman" w:cs="Times New Roman"/>
          <w:sz w:val="24"/>
          <w:szCs w:val="24"/>
          <w:lang w:eastAsia="ru-RU"/>
        </w:rPr>
        <w:t xml:space="preserve">Амурской области «О бюджетном процессе в Амурской области» (статья 16), Законом Амурской области «О контрольно-счетной палате Амурской области» (статья 9) и планом работы контрольно-счетной палаты Амурской области на </w:t>
      </w:r>
      <w:r w:rsidR="00B5633D">
        <w:rPr>
          <w:rFonts w:ascii="Times New Roman" w:eastAsia="Times New Roman" w:hAnsi="Times New Roman" w:cs="Times New Roman"/>
          <w:sz w:val="24"/>
          <w:szCs w:val="24"/>
          <w:lang w:eastAsia="ru-RU"/>
        </w:rPr>
        <w:br/>
      </w:r>
      <w:r w:rsidRPr="00BD172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BD172C">
        <w:rPr>
          <w:rFonts w:ascii="Times New Roman" w:eastAsia="Times New Roman" w:hAnsi="Times New Roman" w:cs="Times New Roman"/>
          <w:sz w:val="24"/>
          <w:szCs w:val="24"/>
          <w:lang w:eastAsia="ru-RU"/>
        </w:rPr>
        <w:t xml:space="preserve"> год (пункт 1.</w:t>
      </w:r>
      <w:r>
        <w:rPr>
          <w:rFonts w:ascii="Times New Roman" w:eastAsia="Times New Roman" w:hAnsi="Times New Roman" w:cs="Times New Roman"/>
          <w:sz w:val="24"/>
          <w:szCs w:val="24"/>
          <w:lang w:eastAsia="ru-RU"/>
        </w:rPr>
        <w:t>7</w:t>
      </w:r>
      <w:r w:rsidRPr="00BD172C">
        <w:rPr>
          <w:rFonts w:ascii="Times New Roman" w:eastAsia="Times New Roman" w:hAnsi="Times New Roman" w:cs="Times New Roman"/>
          <w:sz w:val="24"/>
          <w:szCs w:val="24"/>
          <w:lang w:eastAsia="ru-RU"/>
        </w:rPr>
        <w:t xml:space="preserve">), утвержденным решением коллегии контрольно-счетной палаты Амурской области от </w:t>
      </w:r>
      <w:r>
        <w:rPr>
          <w:rFonts w:ascii="Times New Roman" w:eastAsia="Times New Roman" w:hAnsi="Times New Roman" w:cs="Times New Roman"/>
          <w:sz w:val="24"/>
          <w:szCs w:val="24"/>
          <w:lang w:eastAsia="ru-RU"/>
        </w:rPr>
        <w:t>27</w:t>
      </w:r>
      <w:r w:rsidRPr="00BD172C">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BD172C">
        <w:rPr>
          <w:rFonts w:ascii="Times New Roman" w:eastAsia="Times New Roman" w:hAnsi="Times New Roman" w:cs="Times New Roman"/>
          <w:sz w:val="24"/>
          <w:szCs w:val="24"/>
          <w:lang w:eastAsia="ru-RU"/>
        </w:rPr>
        <w:t>.</w:t>
      </w:r>
    </w:p>
    <w:p w:rsidR="0004346C" w:rsidRPr="00F13BFE" w:rsidRDefault="0004346C" w:rsidP="000434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BFE">
        <w:rPr>
          <w:rFonts w:ascii="Times New Roman" w:eastAsia="Times New Roman" w:hAnsi="Times New Roman" w:cs="Times New Roman"/>
          <w:sz w:val="24"/>
          <w:szCs w:val="24"/>
          <w:lang w:eastAsia="ru-RU"/>
        </w:rPr>
        <w:t>При проведении экспертизы законопроекта и подготовке заключения использованы:</w:t>
      </w:r>
    </w:p>
    <w:p w:rsidR="0004346C" w:rsidRPr="00C760E6" w:rsidRDefault="0004346C" w:rsidP="0004346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3"/>
          <w:szCs w:val="24"/>
        </w:rPr>
      </w:pPr>
      <w:r w:rsidRPr="00C760E6">
        <w:rPr>
          <w:rFonts w:ascii="Times New Roman" w:hAnsi="Times New Roman" w:cs="Times New Roman"/>
          <w:sz w:val="23"/>
          <w:szCs w:val="24"/>
        </w:rPr>
        <w:t>отчет об исполнении областного бюджета за 2017 год, представленный губернатором Амурской области на основании статьи 264.4 Бюджетного кодекса Российской Федерации, статьи 16 Закона Амурской области «О бюджетном процессе в Амурской области»;</w:t>
      </w:r>
    </w:p>
    <w:p w:rsidR="0004346C" w:rsidRPr="00C760E6" w:rsidRDefault="0004346C" w:rsidP="0004346C">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3"/>
          <w:szCs w:val="24"/>
        </w:rPr>
      </w:pPr>
      <w:r w:rsidRPr="00C760E6">
        <w:rPr>
          <w:rFonts w:ascii="Times New Roman" w:hAnsi="Times New Roman" w:cs="Times New Roman"/>
          <w:sz w:val="23"/>
          <w:szCs w:val="24"/>
        </w:rPr>
        <w:t xml:space="preserve">документы, представляемые одновременно с годовым отчетом об исполнении областного бюджета за 2017 год на основании ч.2 статьи 16 Закона Амурской области </w:t>
      </w:r>
      <w:r w:rsidR="00B5633D" w:rsidRPr="00C760E6">
        <w:rPr>
          <w:rFonts w:ascii="Times New Roman" w:hAnsi="Times New Roman" w:cs="Times New Roman"/>
          <w:sz w:val="23"/>
          <w:szCs w:val="24"/>
        </w:rPr>
        <w:br/>
      </w:r>
      <w:r w:rsidRPr="00C760E6">
        <w:rPr>
          <w:rFonts w:ascii="Times New Roman" w:hAnsi="Times New Roman" w:cs="Times New Roman"/>
          <w:sz w:val="23"/>
          <w:szCs w:val="24"/>
        </w:rPr>
        <w:t>«О бюджетном процессе в Амурской области»;</w:t>
      </w:r>
    </w:p>
    <w:p w:rsidR="0004346C" w:rsidRPr="00C760E6" w:rsidRDefault="0004346C" w:rsidP="0004346C">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3"/>
          <w:szCs w:val="24"/>
          <w:lang w:eastAsia="ru-RU"/>
        </w:rPr>
      </w:pPr>
      <w:r w:rsidRPr="00C760E6">
        <w:rPr>
          <w:rFonts w:ascii="Times New Roman" w:eastAsia="Times New Roman" w:hAnsi="Times New Roman" w:cs="Times New Roman"/>
          <w:spacing w:val="-6"/>
          <w:sz w:val="23"/>
          <w:szCs w:val="24"/>
          <w:lang w:eastAsia="ru-RU"/>
        </w:rPr>
        <w:t xml:space="preserve">заключение контрольно-счетной палаты Амурской области </w:t>
      </w:r>
      <w:r w:rsidRPr="00C760E6">
        <w:rPr>
          <w:rFonts w:ascii="Times New Roman" w:eastAsia="Times New Roman" w:hAnsi="Times New Roman" w:cs="Times New Roman"/>
          <w:spacing w:val="-7"/>
          <w:sz w:val="23"/>
          <w:szCs w:val="24"/>
          <w:lang w:eastAsia="ru-RU"/>
        </w:rPr>
        <w:t xml:space="preserve">на годовой отчет об исполнении </w:t>
      </w:r>
      <w:r w:rsidRPr="00C760E6">
        <w:rPr>
          <w:rFonts w:ascii="Times New Roman" w:eastAsia="Times New Roman" w:hAnsi="Times New Roman" w:cs="Times New Roman"/>
          <w:sz w:val="23"/>
          <w:szCs w:val="24"/>
          <w:lang w:eastAsia="ru-RU"/>
        </w:rPr>
        <w:t>областного бюджета за 2017 год,</w:t>
      </w:r>
      <w:r w:rsidRPr="00C760E6">
        <w:rPr>
          <w:rFonts w:ascii="Times New Roman" w:eastAsia="Times New Roman" w:hAnsi="Times New Roman" w:cs="Times New Roman"/>
          <w:spacing w:val="-6"/>
          <w:sz w:val="23"/>
          <w:szCs w:val="24"/>
          <w:lang w:eastAsia="ru-RU"/>
        </w:rPr>
        <w:t xml:space="preserve"> подготовленное на основе внешней проверки и анализа отчетности главных администраторов средств областного бюджета;</w:t>
      </w:r>
    </w:p>
    <w:p w:rsidR="0004346C" w:rsidRPr="00C760E6" w:rsidRDefault="0004346C" w:rsidP="0004346C">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3"/>
          <w:szCs w:val="24"/>
          <w:lang w:eastAsia="ru-RU"/>
        </w:rPr>
      </w:pPr>
      <w:r w:rsidRPr="00C760E6">
        <w:rPr>
          <w:rFonts w:ascii="Times New Roman" w:eastAsia="Times New Roman" w:hAnsi="Times New Roman" w:cs="Times New Roman"/>
          <w:sz w:val="23"/>
          <w:szCs w:val="24"/>
          <w:lang w:eastAsia="ru-RU"/>
        </w:rPr>
        <w:t>материалы контрольных мероприятий контрольно-счетной палаты Амурской области;</w:t>
      </w:r>
    </w:p>
    <w:p w:rsidR="0004346C" w:rsidRPr="00C760E6" w:rsidRDefault="0004346C" w:rsidP="0004346C">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3"/>
          <w:szCs w:val="24"/>
          <w:lang w:eastAsia="ru-RU"/>
        </w:rPr>
      </w:pPr>
      <w:r w:rsidRPr="00C760E6">
        <w:rPr>
          <w:rFonts w:ascii="Times New Roman" w:eastAsia="Times New Roman" w:hAnsi="Times New Roman" w:cs="Times New Roman"/>
          <w:sz w:val="23"/>
          <w:szCs w:val="24"/>
          <w:lang w:eastAsia="ru-RU"/>
        </w:rPr>
        <w:t>нормативные правовые акты и иные распорядительные документы, обосновывающие операции со средствами областного бюджета;</w:t>
      </w:r>
    </w:p>
    <w:p w:rsidR="0004346C" w:rsidRPr="00C760E6" w:rsidRDefault="0004346C" w:rsidP="0004346C">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3"/>
          <w:szCs w:val="24"/>
          <w:lang w:eastAsia="ru-RU"/>
        </w:rPr>
      </w:pPr>
      <w:r w:rsidRPr="00C760E6">
        <w:rPr>
          <w:rFonts w:ascii="Times New Roman" w:eastAsia="Times New Roman" w:hAnsi="Times New Roman" w:cs="Times New Roman"/>
          <w:spacing w:val="-6"/>
          <w:sz w:val="23"/>
          <w:szCs w:val="24"/>
          <w:lang w:eastAsia="ru-RU"/>
        </w:rPr>
        <w:t>дополнительные сведения, представленные органами государственной власти Амурской области по запросам контрольно-счетной палаты Амурской области;</w:t>
      </w:r>
    </w:p>
    <w:p w:rsidR="0004346C" w:rsidRPr="00C760E6" w:rsidRDefault="0004346C" w:rsidP="0004346C">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3"/>
          <w:szCs w:val="24"/>
          <w:lang w:eastAsia="ru-RU"/>
        </w:rPr>
      </w:pPr>
      <w:r w:rsidRPr="00C760E6">
        <w:rPr>
          <w:rFonts w:ascii="Times New Roman" w:eastAsia="Times New Roman" w:hAnsi="Times New Roman" w:cs="Times New Roman"/>
          <w:spacing w:val="-6"/>
          <w:sz w:val="23"/>
          <w:szCs w:val="24"/>
          <w:lang w:eastAsia="ru-RU"/>
        </w:rPr>
        <w:t>официальная статистическая информация.</w:t>
      </w:r>
    </w:p>
    <w:p w:rsidR="00B5633D" w:rsidRPr="00C760E6" w:rsidRDefault="00B5633D" w:rsidP="00B5633D">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3"/>
          <w:szCs w:val="24"/>
          <w:lang w:eastAsia="ru-RU"/>
        </w:rPr>
      </w:pPr>
      <w:bookmarkStart w:id="0" w:name="_Toc105524204"/>
      <w:bookmarkStart w:id="1" w:name="_Toc74237355"/>
      <w:bookmarkStart w:id="2" w:name="_Toc105568799"/>
    </w:p>
    <w:p w:rsidR="00B5633D" w:rsidRPr="002A0A81" w:rsidRDefault="00B5633D" w:rsidP="00B5633D">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2A0A81">
        <w:rPr>
          <w:rFonts w:ascii="Times New Roman" w:eastAsia="Times New Roman" w:hAnsi="Times New Roman" w:cs="Times New Roman"/>
          <w:b/>
          <w:sz w:val="24"/>
          <w:szCs w:val="24"/>
          <w:lang w:eastAsia="ru-RU"/>
        </w:rPr>
        <w:t xml:space="preserve">1.Макроэкономические условия исполнения областного </w:t>
      </w:r>
      <w:bookmarkEnd w:id="0"/>
      <w:r w:rsidRPr="002A0A81">
        <w:rPr>
          <w:rFonts w:ascii="Times New Roman" w:eastAsia="Times New Roman" w:hAnsi="Times New Roman" w:cs="Times New Roman"/>
          <w:b/>
          <w:sz w:val="24"/>
          <w:szCs w:val="24"/>
          <w:lang w:eastAsia="ru-RU"/>
        </w:rPr>
        <w:t>бюджета в</w:t>
      </w:r>
      <w:bookmarkStart w:id="3" w:name="_Toc105524205"/>
      <w:r w:rsidRPr="002A0A81">
        <w:rPr>
          <w:rFonts w:ascii="Times New Roman" w:eastAsia="Times New Roman" w:hAnsi="Times New Roman" w:cs="Times New Roman"/>
          <w:b/>
          <w:sz w:val="24"/>
          <w:szCs w:val="24"/>
          <w:lang w:eastAsia="ru-RU"/>
        </w:rPr>
        <w:t xml:space="preserve"> 2017 году</w:t>
      </w:r>
      <w:bookmarkEnd w:id="1"/>
      <w:bookmarkEnd w:id="2"/>
      <w:bookmarkEnd w:id="3"/>
    </w:p>
    <w:p w:rsidR="00B5633D" w:rsidRDefault="00B5633D" w:rsidP="00B5633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исполнения областного бюджета по доходам зависят от налоговой базы, исчисляемой в зависимости от экономической и демографической ситуации, характера рынка труда. Расходы во многом обусловлены возложенными законодательством на бюджет субъекта обязательствами по социальному обеспечению населения.</w:t>
      </w:r>
    </w:p>
    <w:p w:rsidR="00B5633D" w:rsidRDefault="00B5633D" w:rsidP="00B5633D">
      <w:pPr>
        <w:widowControl w:val="0"/>
        <w:spacing w:after="0" w:line="240" w:lineRule="auto"/>
        <w:ind w:firstLine="709"/>
        <w:jc w:val="both"/>
        <w:rPr>
          <w:rFonts w:ascii="Times New Roman" w:eastAsia="Times New Roman" w:hAnsi="Times New Roman" w:cs="Times New Roman"/>
          <w:sz w:val="24"/>
          <w:szCs w:val="24"/>
          <w:lang w:eastAsia="ru-RU"/>
        </w:rPr>
      </w:pPr>
      <w:r w:rsidRPr="00CB0316">
        <w:rPr>
          <w:rFonts w:ascii="Times New Roman" w:eastAsia="Times New Roman" w:hAnsi="Times New Roman" w:cs="Times New Roman"/>
          <w:sz w:val="24"/>
          <w:szCs w:val="24"/>
          <w:lang w:eastAsia="ru-RU"/>
        </w:rPr>
        <w:t>Макроэкономические условия испо</w:t>
      </w:r>
      <w:r>
        <w:rPr>
          <w:rFonts w:ascii="Times New Roman" w:eastAsia="Times New Roman" w:hAnsi="Times New Roman" w:cs="Times New Roman"/>
          <w:sz w:val="24"/>
          <w:szCs w:val="24"/>
          <w:lang w:eastAsia="ru-RU"/>
        </w:rPr>
        <w:t>лнения областного бюджета в 2017</w:t>
      </w:r>
      <w:r w:rsidRPr="00CB0316">
        <w:rPr>
          <w:rFonts w:ascii="Times New Roman" w:eastAsia="Times New Roman" w:hAnsi="Times New Roman" w:cs="Times New Roman"/>
          <w:sz w:val="24"/>
          <w:szCs w:val="24"/>
          <w:lang w:eastAsia="ru-RU"/>
        </w:rPr>
        <w:t xml:space="preserve"> году характеризуются значительным увеличением объема инвестиций в основной капитал</w:t>
      </w:r>
      <w:r>
        <w:rPr>
          <w:rFonts w:ascii="Times New Roman" w:eastAsia="Times New Roman" w:hAnsi="Times New Roman" w:cs="Times New Roman"/>
          <w:sz w:val="24"/>
          <w:szCs w:val="24"/>
          <w:lang w:eastAsia="ru-RU"/>
        </w:rPr>
        <w:t xml:space="preserve">, продукции сельского хозяйства, объема работ, выполненных по виду деятельности «строительство», </w:t>
      </w:r>
      <w:r w:rsidRPr="00CB0316">
        <w:rPr>
          <w:rFonts w:ascii="Times New Roman" w:eastAsia="Times New Roman" w:hAnsi="Times New Roman" w:cs="Times New Roman"/>
          <w:sz w:val="24"/>
          <w:szCs w:val="24"/>
          <w:lang w:eastAsia="ru-RU"/>
        </w:rPr>
        <w:t xml:space="preserve">при снижении темпов роста промышленного производства. </w:t>
      </w:r>
    </w:p>
    <w:p w:rsidR="00B5633D" w:rsidRDefault="00B5633D" w:rsidP="00B5633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в 2017 году отмечается рост</w:t>
      </w:r>
      <w:r w:rsidRPr="00CB0316">
        <w:rPr>
          <w:rFonts w:ascii="Times New Roman" w:eastAsia="Times New Roman" w:hAnsi="Times New Roman" w:cs="Times New Roman"/>
          <w:sz w:val="24"/>
          <w:szCs w:val="24"/>
          <w:lang w:eastAsia="ru-RU"/>
        </w:rPr>
        <w:t xml:space="preserve"> реальных располагаемых доходов населения</w:t>
      </w:r>
      <w:r>
        <w:rPr>
          <w:rFonts w:ascii="Times New Roman" w:eastAsia="Times New Roman" w:hAnsi="Times New Roman" w:cs="Times New Roman"/>
          <w:sz w:val="24"/>
          <w:szCs w:val="24"/>
          <w:lang w:eastAsia="ru-RU"/>
        </w:rPr>
        <w:t xml:space="preserve"> и снижение индекса</w:t>
      </w:r>
      <w:r w:rsidRPr="00CB0316">
        <w:rPr>
          <w:rFonts w:ascii="Times New Roman" w:eastAsia="Times New Roman" w:hAnsi="Times New Roman" w:cs="Times New Roman"/>
          <w:sz w:val="24"/>
          <w:szCs w:val="24"/>
          <w:lang w:eastAsia="ru-RU"/>
        </w:rPr>
        <w:t xml:space="preserve"> потребительских цен</w:t>
      </w:r>
      <w:r>
        <w:rPr>
          <w:rFonts w:ascii="Times New Roman" w:eastAsia="Times New Roman" w:hAnsi="Times New Roman" w:cs="Times New Roman"/>
          <w:sz w:val="24"/>
          <w:szCs w:val="24"/>
          <w:lang w:eastAsia="ru-RU"/>
        </w:rPr>
        <w:t xml:space="preserve"> до минимального за последние несколько лет значения.</w:t>
      </w:r>
    </w:p>
    <w:p w:rsidR="00B5633D" w:rsidRDefault="00C760E6" w:rsidP="00B5633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обеспечения сопоставимости параметров планирования и фактического исполнения Закона Амурской области «Об областном бюджете на 2017 год и плановый период 2018 и 2019 годов» показатели макроэкономического развития Амурской области рассматриваются в сравнении с прогнозом социально-экономического развития Амурской области на 2017 год и на плановый период 2018 и 2019 годов (далее - прогноз социально-</w:t>
      </w:r>
      <w:r>
        <w:rPr>
          <w:rFonts w:ascii="Times New Roman" w:eastAsia="Times New Roman" w:hAnsi="Times New Roman" w:cs="Times New Roman"/>
          <w:sz w:val="24"/>
          <w:szCs w:val="24"/>
          <w:lang w:eastAsia="ru-RU"/>
        </w:rPr>
        <w:lastRenderedPageBreak/>
        <w:t>экономического развития Амурской области на 2017 год), одобренным распоряжением Правительства Амурской области от 31.10.2016 № 130-р (в ред. Распоряжения от 25.01.2017 № 12-р).</w:t>
      </w:r>
    </w:p>
    <w:p w:rsidR="00B5633D" w:rsidRPr="002A0A81" w:rsidRDefault="00B5633D" w:rsidP="00B5633D">
      <w:pPr>
        <w:pStyle w:val="10"/>
        <w:ind w:firstLine="709"/>
        <w:rPr>
          <w:b/>
          <w:i/>
        </w:rPr>
      </w:pPr>
      <w:r w:rsidRPr="002A0A81">
        <w:rPr>
          <w:b/>
          <w:i/>
        </w:rPr>
        <w:t>1.1. Социальное развитие Амурской области</w:t>
      </w:r>
    </w:p>
    <w:p w:rsidR="00B5633D" w:rsidRPr="002A0A81" w:rsidRDefault="00B5633D" w:rsidP="00B5633D">
      <w:pPr>
        <w:pStyle w:val="afa"/>
        <w:tabs>
          <w:tab w:val="left" w:pos="993"/>
        </w:tabs>
        <w:ind w:left="0" w:firstLine="709"/>
        <w:jc w:val="both"/>
        <w:rPr>
          <w:sz w:val="24"/>
          <w:szCs w:val="24"/>
          <w:u w:val="single"/>
        </w:rPr>
      </w:pPr>
      <w:r w:rsidRPr="002A0A81">
        <w:rPr>
          <w:sz w:val="24"/>
          <w:szCs w:val="24"/>
          <w:u w:val="single"/>
        </w:rPr>
        <w:t>1.1.1. Население.</w:t>
      </w:r>
    </w:p>
    <w:p w:rsidR="00B5633D" w:rsidRPr="00083D19" w:rsidRDefault="00B5633D" w:rsidP="00B5633D">
      <w:pPr>
        <w:pStyle w:val="afa"/>
        <w:tabs>
          <w:tab w:val="left" w:pos="993"/>
        </w:tabs>
        <w:ind w:left="0" w:firstLine="709"/>
        <w:jc w:val="both"/>
        <w:rPr>
          <w:sz w:val="24"/>
          <w:szCs w:val="24"/>
        </w:rPr>
      </w:pPr>
      <w:r w:rsidRPr="00083D19">
        <w:rPr>
          <w:sz w:val="24"/>
          <w:szCs w:val="24"/>
        </w:rPr>
        <w:t xml:space="preserve">По оценке Территориального органа Федеральной службы государственной статистики по Амурской области </w:t>
      </w:r>
      <w:r w:rsidRPr="00083D19">
        <w:rPr>
          <w:i/>
          <w:sz w:val="24"/>
          <w:szCs w:val="24"/>
        </w:rPr>
        <w:t>численность постоянного населения</w:t>
      </w:r>
      <w:r w:rsidRPr="00083D19">
        <w:rPr>
          <w:sz w:val="24"/>
          <w:szCs w:val="24"/>
        </w:rPr>
        <w:t xml:space="preserve"> по состоянию на 01.01.2018 составила 798,4 тыс. человек (на 01.01.201</w:t>
      </w:r>
      <w:r>
        <w:rPr>
          <w:sz w:val="24"/>
          <w:szCs w:val="24"/>
        </w:rPr>
        <w:t>7</w:t>
      </w:r>
      <w:r w:rsidRPr="00083D19">
        <w:rPr>
          <w:sz w:val="24"/>
          <w:szCs w:val="24"/>
        </w:rPr>
        <w:t xml:space="preserve"> – 801,8 тыс. человек).</w:t>
      </w:r>
    </w:p>
    <w:p w:rsidR="00B5633D" w:rsidRPr="00083D19" w:rsidRDefault="00B5633D" w:rsidP="00B5633D">
      <w:pPr>
        <w:pStyle w:val="afa"/>
        <w:tabs>
          <w:tab w:val="left" w:pos="993"/>
        </w:tabs>
        <w:ind w:left="0" w:firstLine="709"/>
        <w:jc w:val="both"/>
        <w:rPr>
          <w:sz w:val="24"/>
          <w:szCs w:val="24"/>
        </w:rPr>
      </w:pPr>
      <w:r w:rsidRPr="00083D19">
        <w:rPr>
          <w:sz w:val="24"/>
          <w:szCs w:val="24"/>
        </w:rPr>
        <w:t xml:space="preserve">В 2017 году </w:t>
      </w:r>
      <w:r w:rsidRPr="00083D19">
        <w:rPr>
          <w:i/>
          <w:sz w:val="24"/>
          <w:szCs w:val="24"/>
        </w:rPr>
        <w:t>родилось</w:t>
      </w:r>
      <w:r w:rsidRPr="00083D19">
        <w:rPr>
          <w:sz w:val="24"/>
          <w:szCs w:val="24"/>
        </w:rPr>
        <w:t xml:space="preserve"> 9459 человек; </w:t>
      </w:r>
      <w:r w:rsidRPr="00083D19">
        <w:rPr>
          <w:i/>
          <w:sz w:val="24"/>
          <w:szCs w:val="24"/>
        </w:rPr>
        <w:t>умерло</w:t>
      </w:r>
      <w:r w:rsidRPr="00083D19">
        <w:rPr>
          <w:sz w:val="24"/>
          <w:szCs w:val="24"/>
        </w:rPr>
        <w:t xml:space="preserve"> 10683 человека. По сравнению с данными на 01.01.2017 число родившихся на 1000 человек населения (коэффициент рождаемости) уменьшилось на 1,1 пункта, число умерших (коэффициент смертности) – на 0,3 пункта. Естественная убыль населения за 2017 год составила 1224 человека. </w:t>
      </w:r>
      <w:r w:rsidRPr="00083D19">
        <w:rPr>
          <w:i/>
          <w:sz w:val="24"/>
          <w:szCs w:val="24"/>
        </w:rPr>
        <w:t>Коэффициент естественной убыли населения</w:t>
      </w:r>
      <w:r w:rsidRPr="00083D19">
        <w:rPr>
          <w:sz w:val="24"/>
          <w:szCs w:val="24"/>
        </w:rPr>
        <w:t xml:space="preserve"> за </w:t>
      </w:r>
      <w:r w:rsidR="00AA6522">
        <w:rPr>
          <w:sz w:val="24"/>
          <w:szCs w:val="24"/>
        </w:rPr>
        <w:t>2017 год составил 1,6 промилле.</w:t>
      </w:r>
    </w:p>
    <w:p w:rsidR="00B5633D" w:rsidRPr="00083D19" w:rsidRDefault="00B5633D" w:rsidP="00B5633D">
      <w:pPr>
        <w:pStyle w:val="afa"/>
        <w:tabs>
          <w:tab w:val="left" w:pos="993"/>
        </w:tabs>
        <w:ind w:left="0" w:firstLine="709"/>
        <w:jc w:val="both"/>
        <w:rPr>
          <w:sz w:val="24"/>
          <w:szCs w:val="24"/>
          <w:u w:val="single"/>
        </w:rPr>
      </w:pPr>
      <w:r w:rsidRPr="00083D19">
        <w:rPr>
          <w:sz w:val="24"/>
          <w:szCs w:val="24"/>
          <w:u w:val="single"/>
        </w:rPr>
        <w:t>1.1.2. Рынок труда.</w:t>
      </w:r>
    </w:p>
    <w:p w:rsidR="00B5633D" w:rsidRPr="00594F7B" w:rsidRDefault="00B5633D" w:rsidP="00B5633D">
      <w:pPr>
        <w:pStyle w:val="afa"/>
        <w:tabs>
          <w:tab w:val="left" w:pos="993"/>
        </w:tabs>
        <w:ind w:left="0" w:firstLine="709"/>
        <w:jc w:val="both"/>
        <w:rPr>
          <w:sz w:val="24"/>
          <w:szCs w:val="24"/>
        </w:rPr>
      </w:pPr>
      <w:r w:rsidRPr="00B209D2">
        <w:rPr>
          <w:i/>
          <w:sz w:val="24"/>
          <w:szCs w:val="24"/>
        </w:rPr>
        <w:t>Численность рабочей силы</w:t>
      </w:r>
      <w:r w:rsidRPr="00B209D2">
        <w:rPr>
          <w:sz w:val="24"/>
          <w:szCs w:val="24"/>
        </w:rPr>
        <w:t xml:space="preserve"> </w:t>
      </w:r>
      <w:r>
        <w:rPr>
          <w:sz w:val="24"/>
          <w:szCs w:val="24"/>
        </w:rPr>
        <w:t xml:space="preserve">(в возрасте 15-72 лет) </w:t>
      </w:r>
      <w:r w:rsidRPr="00B209D2">
        <w:rPr>
          <w:sz w:val="24"/>
          <w:szCs w:val="24"/>
        </w:rPr>
        <w:t>в 2017 году составила 413,6 тыс. человек, что ниже уровня 2016 года на 0,</w:t>
      </w:r>
      <w:r w:rsidR="00503EB3">
        <w:rPr>
          <w:sz w:val="24"/>
          <w:szCs w:val="24"/>
        </w:rPr>
        <w:t>1</w:t>
      </w:r>
      <w:r w:rsidRPr="00B209D2">
        <w:rPr>
          <w:sz w:val="24"/>
          <w:szCs w:val="24"/>
        </w:rPr>
        <w:t xml:space="preserve"> процента (в 2016 году численность рабочей силы составляла 414,0 тыс. человек). </w:t>
      </w:r>
      <w:r w:rsidRPr="000E197B">
        <w:rPr>
          <w:i/>
          <w:sz w:val="24"/>
          <w:szCs w:val="24"/>
        </w:rPr>
        <w:t>Численность рабочей силы в возрасте от 15 лет и старше</w:t>
      </w:r>
      <w:r>
        <w:rPr>
          <w:sz w:val="24"/>
          <w:szCs w:val="24"/>
        </w:rPr>
        <w:t xml:space="preserve"> в 2017 году составила 414,7 тыс. человек, из них 390,4 тыс. человек занято в экономике.</w:t>
      </w:r>
      <w:r w:rsidR="00503EB3">
        <w:rPr>
          <w:sz w:val="24"/>
          <w:szCs w:val="24"/>
        </w:rPr>
        <w:t xml:space="preserve"> </w:t>
      </w:r>
      <w:r w:rsidRPr="00594F7B">
        <w:rPr>
          <w:sz w:val="24"/>
          <w:szCs w:val="24"/>
        </w:rPr>
        <w:t xml:space="preserve">Численность занятого в экономике области населения за 2017 год </w:t>
      </w:r>
      <w:r w:rsidR="00503EB3">
        <w:rPr>
          <w:sz w:val="24"/>
          <w:szCs w:val="24"/>
        </w:rPr>
        <w:t xml:space="preserve">(без учета занятых в экономике граждан старше 72 лет, включенных в категорию обследуемых лиц с 2017 года) </w:t>
      </w:r>
      <w:r w:rsidRPr="00594F7B">
        <w:rPr>
          <w:sz w:val="24"/>
          <w:szCs w:val="24"/>
        </w:rPr>
        <w:t>уменьшилась на 0,1 тыс. человек, или 0,02 процента, по сравнению с 2016 годом, и составила 389,3 тыс. человек. Доля занятых в сферах государственного управления, образования, здравоохранения и предоставления социальных услуг в 2017 году составила 29,1 процента численности занятых</w:t>
      </w:r>
      <w:r w:rsidR="00503EB3">
        <w:rPr>
          <w:sz w:val="24"/>
          <w:szCs w:val="24"/>
        </w:rPr>
        <w:t>,</w:t>
      </w:r>
      <w:r w:rsidRPr="00594F7B">
        <w:rPr>
          <w:sz w:val="24"/>
          <w:szCs w:val="24"/>
        </w:rPr>
        <w:t xml:space="preserve"> в сфере оптовой и розничной торговли, ремонта автотранспортных средств, бытовых изделий и предметов личного пользования; гостиниц и ресторанов </w:t>
      </w:r>
      <w:r w:rsidR="00503EB3">
        <w:rPr>
          <w:sz w:val="24"/>
          <w:szCs w:val="24"/>
        </w:rPr>
        <w:t>-</w:t>
      </w:r>
      <w:r>
        <w:rPr>
          <w:sz w:val="24"/>
          <w:szCs w:val="24"/>
        </w:rPr>
        <w:t xml:space="preserve"> </w:t>
      </w:r>
      <w:r w:rsidR="00503EB3">
        <w:rPr>
          <w:sz w:val="24"/>
          <w:szCs w:val="24"/>
        </w:rPr>
        <w:br/>
      </w:r>
      <w:r w:rsidRPr="00594F7B">
        <w:rPr>
          <w:sz w:val="24"/>
          <w:szCs w:val="24"/>
        </w:rPr>
        <w:t xml:space="preserve">16,1 процента, </w:t>
      </w:r>
      <w:r>
        <w:rPr>
          <w:sz w:val="24"/>
          <w:szCs w:val="24"/>
        </w:rPr>
        <w:t xml:space="preserve">транспортировке и хранению, деятельности в области информации и связи – 15,1 процента, строительстве – 8,7 процента, добыче полезных ископаемых – 4,7 процента, </w:t>
      </w:r>
      <w:r w:rsidRPr="007709DE">
        <w:rPr>
          <w:sz w:val="24"/>
          <w:szCs w:val="24"/>
        </w:rPr>
        <w:t>обрабатывающей промышленности 4,4 процента</w:t>
      </w:r>
      <w:r w:rsidRPr="00594F7B">
        <w:rPr>
          <w:sz w:val="24"/>
          <w:szCs w:val="24"/>
        </w:rPr>
        <w:t>.</w:t>
      </w:r>
    </w:p>
    <w:p w:rsidR="00B5633D" w:rsidRPr="00841871"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9A0C90">
        <w:rPr>
          <w:rFonts w:ascii="Times New Roman" w:eastAsia="Times New Roman" w:hAnsi="Times New Roman" w:cs="Times New Roman"/>
          <w:sz w:val="24"/>
          <w:szCs w:val="24"/>
          <w:lang w:eastAsia="ru-RU"/>
        </w:rPr>
        <w:t xml:space="preserve">На конец 2017 года </w:t>
      </w:r>
      <w:r w:rsidRPr="009A0C90">
        <w:rPr>
          <w:rFonts w:ascii="Times New Roman" w:eastAsia="Times New Roman" w:hAnsi="Times New Roman" w:cs="Times New Roman"/>
          <w:i/>
          <w:sz w:val="24"/>
          <w:szCs w:val="24"/>
          <w:lang w:eastAsia="ru-RU"/>
        </w:rPr>
        <w:t>численность официально зарегистрированных в государственных учреждениях службы занятости населения</w:t>
      </w:r>
      <w:r w:rsidRPr="009A0C90">
        <w:rPr>
          <w:rFonts w:ascii="Times New Roman" w:eastAsia="Times New Roman" w:hAnsi="Times New Roman" w:cs="Times New Roman"/>
          <w:sz w:val="24"/>
          <w:szCs w:val="24"/>
          <w:lang w:eastAsia="ru-RU"/>
        </w:rPr>
        <w:t xml:space="preserve"> </w:t>
      </w:r>
      <w:r w:rsidRPr="009A0C90">
        <w:rPr>
          <w:rFonts w:ascii="Times New Roman" w:eastAsia="Times New Roman" w:hAnsi="Times New Roman" w:cs="Times New Roman"/>
          <w:i/>
          <w:sz w:val="24"/>
          <w:szCs w:val="24"/>
          <w:lang w:eastAsia="ru-RU"/>
        </w:rPr>
        <w:t>безработных</w:t>
      </w:r>
      <w:r w:rsidRPr="009A0C90">
        <w:rPr>
          <w:rFonts w:ascii="Times New Roman" w:eastAsia="Times New Roman" w:hAnsi="Times New Roman" w:cs="Times New Roman"/>
          <w:sz w:val="24"/>
          <w:szCs w:val="24"/>
          <w:lang w:eastAsia="ru-RU"/>
        </w:rPr>
        <w:t xml:space="preserve"> составила 10,8 тыс. человек (снижение по сравнению с данными на конец 2016 года на 1,1 тыс. человек, или </w:t>
      </w:r>
      <w:r w:rsidRPr="009A0C90">
        <w:rPr>
          <w:rFonts w:ascii="Times New Roman" w:eastAsia="Times New Roman" w:hAnsi="Times New Roman" w:cs="Times New Roman"/>
          <w:sz w:val="24"/>
          <w:szCs w:val="24"/>
          <w:lang w:eastAsia="ru-RU"/>
        </w:rPr>
        <w:br/>
        <w:t xml:space="preserve">9,2 процента). </w:t>
      </w:r>
      <w:r w:rsidRPr="00841871">
        <w:rPr>
          <w:rFonts w:ascii="Times New Roman" w:eastAsia="Times New Roman" w:hAnsi="Times New Roman" w:cs="Times New Roman"/>
          <w:sz w:val="24"/>
          <w:szCs w:val="24"/>
          <w:lang w:eastAsia="ru-RU"/>
        </w:rPr>
        <w:t>Из них получали пособие по безработице 9,1 тыс. человек (по сравнению с данными за 2016 год – снижение на 0,9 тыс. человек).</w:t>
      </w:r>
    </w:p>
    <w:p w:rsidR="00B5633D" w:rsidRPr="00503EB3" w:rsidRDefault="00B5633D" w:rsidP="00503EB3">
      <w:pPr>
        <w:widowControl w:val="0"/>
        <w:autoSpaceDE w:val="0"/>
        <w:autoSpaceDN w:val="0"/>
        <w:adjustRightInd w:val="0"/>
        <w:spacing w:after="0" w:line="223" w:lineRule="auto"/>
        <w:ind w:hanging="284"/>
        <w:jc w:val="center"/>
        <w:rPr>
          <w:rFonts w:ascii="Times New Roman" w:eastAsia="Times New Roman" w:hAnsi="Times New Roman" w:cs="Times New Roman"/>
          <w:b/>
          <w:sz w:val="23"/>
          <w:szCs w:val="24"/>
          <w:lang w:eastAsia="ru-RU"/>
        </w:rPr>
      </w:pPr>
      <w:r w:rsidRPr="00C33CB9">
        <w:rPr>
          <w:rFonts w:ascii="Times New Roman" w:eastAsia="Times New Roman" w:hAnsi="Times New Roman" w:cs="Times New Roman"/>
          <w:noProof/>
          <w:color w:val="FF0000"/>
          <w:sz w:val="20"/>
          <w:szCs w:val="20"/>
          <w:lang w:eastAsia="ru-RU"/>
        </w:rPr>
        <w:drawing>
          <wp:inline distT="0" distB="0" distL="0" distR="0" wp14:anchorId="7C992697" wp14:editId="1A6A7188">
            <wp:extent cx="6245524" cy="3148641"/>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03EB3">
        <w:rPr>
          <w:rFonts w:ascii="Times New Roman" w:eastAsia="Times New Roman" w:hAnsi="Times New Roman" w:cs="Times New Roman"/>
          <w:b/>
          <w:sz w:val="23"/>
          <w:szCs w:val="24"/>
          <w:lang w:eastAsia="ru-RU"/>
        </w:rPr>
        <w:t xml:space="preserve">Рис. 1 – Численность незанятых граждан, обратившихся в службу занятости, и потребность работодателей в работниках на конец месяца </w:t>
      </w:r>
    </w:p>
    <w:p w:rsidR="00B5633D" w:rsidRPr="00503EB3" w:rsidRDefault="00B5633D" w:rsidP="00503EB3">
      <w:pPr>
        <w:widowControl w:val="0"/>
        <w:autoSpaceDE w:val="0"/>
        <w:autoSpaceDN w:val="0"/>
        <w:adjustRightInd w:val="0"/>
        <w:spacing w:after="0" w:line="223" w:lineRule="auto"/>
        <w:jc w:val="center"/>
        <w:rPr>
          <w:rFonts w:ascii="Times New Roman" w:eastAsia="Times New Roman" w:hAnsi="Times New Roman" w:cs="Times New Roman"/>
          <w:b/>
          <w:sz w:val="23"/>
          <w:szCs w:val="24"/>
          <w:lang w:eastAsia="ru-RU"/>
        </w:rPr>
      </w:pPr>
      <w:r w:rsidRPr="00503EB3">
        <w:rPr>
          <w:rFonts w:ascii="Times New Roman" w:eastAsia="Times New Roman" w:hAnsi="Times New Roman" w:cs="Times New Roman"/>
          <w:b/>
          <w:sz w:val="23"/>
          <w:szCs w:val="24"/>
          <w:lang w:eastAsia="ru-RU"/>
        </w:rPr>
        <w:t>в 2016-2017 годах, тыс. человек</w:t>
      </w:r>
    </w:p>
    <w:p w:rsidR="00B5633D" w:rsidRPr="00701644" w:rsidRDefault="00B5633D" w:rsidP="00B5633D">
      <w:pPr>
        <w:pStyle w:val="afa"/>
        <w:tabs>
          <w:tab w:val="left" w:pos="993"/>
        </w:tabs>
        <w:ind w:left="0" w:firstLine="709"/>
        <w:jc w:val="both"/>
        <w:rPr>
          <w:sz w:val="24"/>
          <w:szCs w:val="24"/>
        </w:rPr>
      </w:pPr>
      <w:r w:rsidRPr="00701644">
        <w:rPr>
          <w:i/>
          <w:sz w:val="24"/>
          <w:szCs w:val="24"/>
        </w:rPr>
        <w:lastRenderedPageBreak/>
        <w:t xml:space="preserve">Потребность организаций в работниках, </w:t>
      </w:r>
      <w:r w:rsidRPr="00701644">
        <w:rPr>
          <w:sz w:val="24"/>
          <w:szCs w:val="24"/>
        </w:rPr>
        <w:t>заявленная в службу занятости по состоянию на конец 2017 года составила 29710 человек (по сравнению с данными на конец 2016 года – рост в 5,8 раз</w:t>
      </w:r>
      <w:r>
        <w:rPr>
          <w:sz w:val="24"/>
          <w:szCs w:val="24"/>
        </w:rPr>
        <w:t>а</w:t>
      </w:r>
      <w:r w:rsidRPr="00701644">
        <w:rPr>
          <w:sz w:val="24"/>
          <w:szCs w:val="24"/>
        </w:rPr>
        <w:t>).</w:t>
      </w:r>
      <w:r w:rsidRPr="00700483">
        <w:t xml:space="preserve"> </w:t>
      </w:r>
      <w:r w:rsidRPr="00700483">
        <w:rPr>
          <w:sz w:val="24"/>
          <w:szCs w:val="24"/>
        </w:rPr>
        <w:t>По данным управления занятости населения Амурской области</w:t>
      </w:r>
      <w:r>
        <w:rPr>
          <w:sz w:val="24"/>
          <w:szCs w:val="24"/>
        </w:rPr>
        <w:t>,</w:t>
      </w:r>
      <w:r w:rsidRPr="00700483">
        <w:rPr>
          <w:sz w:val="24"/>
          <w:szCs w:val="24"/>
        </w:rPr>
        <w:t xml:space="preserve"> в связи с реализацией в области инвестиционных проектов</w:t>
      </w:r>
      <w:r>
        <w:rPr>
          <w:sz w:val="24"/>
          <w:szCs w:val="24"/>
        </w:rPr>
        <w:t xml:space="preserve"> (строительство ГПЗ, «газопровода «Сила Сибири») </w:t>
      </w:r>
      <w:r w:rsidRPr="00700483">
        <w:rPr>
          <w:sz w:val="24"/>
          <w:szCs w:val="24"/>
        </w:rPr>
        <w:t>значительно увеличилось количество вакансий по профессиям</w:t>
      </w:r>
      <w:r>
        <w:rPr>
          <w:sz w:val="24"/>
          <w:szCs w:val="24"/>
        </w:rPr>
        <w:t xml:space="preserve"> </w:t>
      </w:r>
      <w:r w:rsidRPr="00700483">
        <w:rPr>
          <w:sz w:val="24"/>
          <w:szCs w:val="24"/>
        </w:rPr>
        <w:t>строительной сферы</w:t>
      </w:r>
      <w:r>
        <w:rPr>
          <w:sz w:val="24"/>
          <w:szCs w:val="24"/>
        </w:rPr>
        <w:t>. Наибольшее число вакансий по состоянию на 01.01.2018 зарегистрировано в г. Свободный.</w:t>
      </w:r>
    </w:p>
    <w:p w:rsidR="00B5633D" w:rsidRPr="00FF0AC9" w:rsidRDefault="00B5633D" w:rsidP="00B5633D">
      <w:pPr>
        <w:pStyle w:val="afa"/>
        <w:tabs>
          <w:tab w:val="left" w:pos="993"/>
        </w:tabs>
        <w:ind w:left="0" w:firstLine="709"/>
        <w:jc w:val="both"/>
        <w:rPr>
          <w:sz w:val="24"/>
          <w:szCs w:val="24"/>
        </w:rPr>
      </w:pPr>
      <w:r w:rsidRPr="00FF0AC9">
        <w:rPr>
          <w:i/>
          <w:sz w:val="24"/>
          <w:szCs w:val="24"/>
        </w:rPr>
        <w:t>Численность безработных</w:t>
      </w:r>
      <w:r w:rsidRPr="00FF0AC9">
        <w:rPr>
          <w:sz w:val="24"/>
          <w:szCs w:val="24"/>
        </w:rPr>
        <w:t xml:space="preserve"> (по методологии Международной Организации Труда) в </w:t>
      </w:r>
      <w:r w:rsidRPr="00FF0AC9">
        <w:rPr>
          <w:sz w:val="24"/>
          <w:szCs w:val="24"/>
        </w:rPr>
        <w:br/>
        <w:t>2017 году составила 24,3 тыс. человек, или 5,9 процента от численности рабочей силы (на уровне 2016 года).</w:t>
      </w:r>
    </w:p>
    <w:p w:rsidR="00B5633D" w:rsidRPr="00700483" w:rsidRDefault="00B5633D" w:rsidP="00B5633D">
      <w:pPr>
        <w:pStyle w:val="afa"/>
        <w:tabs>
          <w:tab w:val="left" w:pos="993"/>
        </w:tabs>
        <w:ind w:left="0" w:firstLine="709"/>
        <w:jc w:val="both"/>
        <w:rPr>
          <w:sz w:val="24"/>
          <w:szCs w:val="24"/>
        </w:rPr>
      </w:pPr>
      <w:r w:rsidRPr="00A936DB">
        <w:rPr>
          <w:i/>
          <w:sz w:val="24"/>
          <w:szCs w:val="24"/>
        </w:rPr>
        <w:t>Уровень официально зарегистрированной безработицы</w:t>
      </w:r>
      <w:r w:rsidRPr="00A936DB">
        <w:rPr>
          <w:sz w:val="24"/>
          <w:szCs w:val="24"/>
        </w:rPr>
        <w:t xml:space="preserve"> </w:t>
      </w:r>
      <w:r w:rsidRPr="00A936DB">
        <w:rPr>
          <w:i/>
          <w:sz w:val="24"/>
          <w:szCs w:val="24"/>
        </w:rPr>
        <w:t xml:space="preserve">(от численности рабочей силы) </w:t>
      </w:r>
      <w:r w:rsidRPr="00A936DB">
        <w:rPr>
          <w:sz w:val="24"/>
          <w:szCs w:val="24"/>
        </w:rPr>
        <w:t xml:space="preserve">в 2017 году составил 2,6 процента (в 2016 году – 2,9 процента). Согласно данным территориального органа Федеральной службы государственной статистики по Амурской области в учреждениях службы занятости населения по состоянию на конец 2017 года зарегистрировано 44,4 процента общего числа безработных. </w:t>
      </w:r>
      <w:r w:rsidRPr="00700483">
        <w:rPr>
          <w:sz w:val="24"/>
          <w:szCs w:val="24"/>
        </w:rPr>
        <w:t xml:space="preserve">По данным управления занятости населения Амурской области работодатели заявили о предполагаемом высвобождении 2019 работников в 2018 году. Наибольшее высвобождение предполагается в структурных подразделениях филиала ОАО «РЖД» в г. Завитинск, г. Тында, г. Сковородино, а также ГАУЗ Белогорская больница </w:t>
      </w:r>
      <w:r>
        <w:rPr>
          <w:sz w:val="24"/>
          <w:szCs w:val="24"/>
        </w:rPr>
        <w:t>(</w:t>
      </w:r>
      <w:r w:rsidRPr="00700483">
        <w:rPr>
          <w:sz w:val="24"/>
          <w:szCs w:val="24"/>
        </w:rPr>
        <w:t>г. Белогорск</w:t>
      </w:r>
      <w:r>
        <w:rPr>
          <w:sz w:val="24"/>
          <w:szCs w:val="24"/>
        </w:rPr>
        <w:t>)</w:t>
      </w:r>
      <w:r w:rsidRPr="00700483">
        <w:rPr>
          <w:sz w:val="24"/>
          <w:szCs w:val="24"/>
        </w:rPr>
        <w:t>.</w:t>
      </w:r>
      <w:r w:rsidRPr="00700483">
        <w:t xml:space="preserve"> </w:t>
      </w:r>
      <w:r w:rsidRPr="00700483">
        <w:rPr>
          <w:sz w:val="24"/>
          <w:szCs w:val="24"/>
        </w:rPr>
        <w:t xml:space="preserve">О режиме неполной занятости </w:t>
      </w:r>
      <w:r>
        <w:rPr>
          <w:sz w:val="24"/>
          <w:szCs w:val="24"/>
        </w:rPr>
        <w:br/>
      </w:r>
      <w:r w:rsidRPr="00700483">
        <w:rPr>
          <w:sz w:val="24"/>
          <w:szCs w:val="24"/>
        </w:rPr>
        <w:t>392 работников по состоянию на конец декабря 2017 года заявили 19 организаций области.</w:t>
      </w:r>
    </w:p>
    <w:p w:rsidR="00B5633D" w:rsidRPr="00F103A8" w:rsidRDefault="00B5633D" w:rsidP="00B5633D">
      <w:pPr>
        <w:pStyle w:val="afa"/>
        <w:tabs>
          <w:tab w:val="left" w:pos="993"/>
        </w:tabs>
        <w:ind w:left="0" w:firstLine="709"/>
        <w:jc w:val="both"/>
        <w:rPr>
          <w:sz w:val="24"/>
          <w:szCs w:val="24"/>
        </w:rPr>
      </w:pPr>
      <w:r w:rsidRPr="00F103A8">
        <w:rPr>
          <w:i/>
          <w:sz w:val="24"/>
          <w:szCs w:val="24"/>
        </w:rPr>
        <w:t>Уровень трудоустройства</w:t>
      </w:r>
      <w:r w:rsidRPr="00F103A8">
        <w:rPr>
          <w:sz w:val="24"/>
          <w:szCs w:val="24"/>
        </w:rPr>
        <w:t xml:space="preserve"> по данным Управления занятости населения Амурской области в 2017 году составил 43,2 процента. Доля трудоустроенных по направлению органов службы занятости от общего числа трудоустр</w:t>
      </w:r>
      <w:r w:rsidR="000F3D18">
        <w:rPr>
          <w:sz w:val="24"/>
          <w:szCs w:val="24"/>
        </w:rPr>
        <w:t>оенных составила 46,4 процента.</w:t>
      </w:r>
    </w:p>
    <w:p w:rsidR="00B5633D" w:rsidRPr="00F103A8" w:rsidRDefault="00B5633D" w:rsidP="00B5633D">
      <w:pPr>
        <w:pStyle w:val="afa"/>
        <w:tabs>
          <w:tab w:val="left" w:pos="993"/>
        </w:tabs>
        <w:ind w:left="0" w:firstLine="709"/>
        <w:jc w:val="both"/>
        <w:rPr>
          <w:sz w:val="24"/>
          <w:szCs w:val="24"/>
        </w:rPr>
      </w:pPr>
      <w:r w:rsidRPr="00F103A8">
        <w:rPr>
          <w:sz w:val="24"/>
          <w:szCs w:val="24"/>
        </w:rPr>
        <w:t>Коэффициент напряженности на рынке труда (отношение численности незанятых граждан к числу заявленной работодателями потребности в работниках) в 2017 году соста</w:t>
      </w:r>
      <w:r w:rsidR="000F3D18">
        <w:rPr>
          <w:sz w:val="24"/>
          <w:szCs w:val="24"/>
        </w:rPr>
        <w:t>вил 0,4 против 2,5 в 2016 году.</w:t>
      </w:r>
    </w:p>
    <w:p w:rsidR="00B5633D" w:rsidRPr="00F103A8" w:rsidRDefault="00B5633D" w:rsidP="00B5633D">
      <w:pPr>
        <w:pStyle w:val="afa"/>
        <w:tabs>
          <w:tab w:val="left" w:pos="993"/>
        </w:tabs>
        <w:ind w:left="0" w:firstLine="709"/>
        <w:jc w:val="both"/>
        <w:rPr>
          <w:sz w:val="24"/>
          <w:szCs w:val="24"/>
        </w:rPr>
      </w:pPr>
      <w:r w:rsidRPr="00F103A8">
        <w:rPr>
          <w:sz w:val="24"/>
          <w:szCs w:val="24"/>
        </w:rPr>
        <w:t xml:space="preserve">Органами государственной службы занятости в 2017 году </w:t>
      </w:r>
      <w:r w:rsidRPr="00F103A8">
        <w:rPr>
          <w:i/>
          <w:sz w:val="24"/>
          <w:szCs w:val="24"/>
        </w:rPr>
        <w:t>проведено профессиональное обучение</w:t>
      </w:r>
      <w:r w:rsidRPr="00F103A8">
        <w:rPr>
          <w:sz w:val="24"/>
          <w:szCs w:val="24"/>
        </w:rPr>
        <w:t xml:space="preserve"> 171 безработн</w:t>
      </w:r>
      <w:r>
        <w:rPr>
          <w:sz w:val="24"/>
          <w:szCs w:val="24"/>
        </w:rPr>
        <w:t>ого</w:t>
      </w:r>
      <w:r w:rsidRPr="00F103A8">
        <w:rPr>
          <w:sz w:val="24"/>
          <w:szCs w:val="24"/>
        </w:rPr>
        <w:t xml:space="preserve"> граждан</w:t>
      </w:r>
      <w:r>
        <w:rPr>
          <w:sz w:val="24"/>
          <w:szCs w:val="24"/>
        </w:rPr>
        <w:t>ина</w:t>
      </w:r>
      <w:r w:rsidRPr="00F103A8">
        <w:rPr>
          <w:sz w:val="24"/>
          <w:szCs w:val="24"/>
        </w:rPr>
        <w:t xml:space="preserve"> (ниже уровня 2016 года на </w:t>
      </w:r>
      <w:r>
        <w:rPr>
          <w:sz w:val="24"/>
          <w:szCs w:val="24"/>
        </w:rPr>
        <w:br/>
      </w:r>
      <w:r w:rsidRPr="00F103A8">
        <w:rPr>
          <w:sz w:val="24"/>
          <w:szCs w:val="24"/>
        </w:rPr>
        <w:t>43 человека), направлено на общественные работы 2039 человек (ниже уровня 2016 года на 233 человека), временно трудоустроено граждан, испытывающих трудности в поиске работы – 45 человек (выше уровня 2016 года на 4 человека).</w:t>
      </w:r>
    </w:p>
    <w:p w:rsidR="008C30C5" w:rsidRDefault="008C30C5" w:rsidP="00B5633D">
      <w:pPr>
        <w:pStyle w:val="afa"/>
        <w:tabs>
          <w:tab w:val="left" w:pos="993"/>
        </w:tabs>
        <w:ind w:left="0" w:firstLine="709"/>
        <w:jc w:val="both"/>
        <w:rPr>
          <w:sz w:val="24"/>
          <w:szCs w:val="24"/>
          <w:u w:val="single"/>
        </w:rPr>
      </w:pPr>
    </w:p>
    <w:p w:rsidR="00B5633D" w:rsidRPr="00F103A8" w:rsidRDefault="00B5633D" w:rsidP="00B5633D">
      <w:pPr>
        <w:pStyle w:val="afa"/>
        <w:tabs>
          <w:tab w:val="left" w:pos="993"/>
        </w:tabs>
        <w:ind w:left="0" w:firstLine="709"/>
        <w:jc w:val="both"/>
        <w:rPr>
          <w:sz w:val="24"/>
          <w:szCs w:val="24"/>
          <w:u w:val="single"/>
        </w:rPr>
      </w:pPr>
      <w:r w:rsidRPr="00F103A8">
        <w:rPr>
          <w:sz w:val="24"/>
          <w:szCs w:val="24"/>
          <w:u w:val="single"/>
        </w:rPr>
        <w:t>1.1.3. Доходы насе</w:t>
      </w:r>
      <w:r w:rsidR="008C30C5">
        <w:rPr>
          <w:sz w:val="24"/>
          <w:szCs w:val="24"/>
          <w:u w:val="single"/>
        </w:rPr>
        <w:t>ления</w:t>
      </w:r>
    </w:p>
    <w:p w:rsidR="00B5633D" w:rsidRPr="00290C49"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C49">
        <w:rPr>
          <w:rFonts w:ascii="Times New Roman" w:eastAsia="Times New Roman" w:hAnsi="Times New Roman" w:cs="Times New Roman"/>
          <w:sz w:val="24"/>
          <w:szCs w:val="24"/>
          <w:lang w:eastAsia="ru-RU"/>
        </w:rPr>
        <w:t xml:space="preserve">По предварительным данным Территориального органа Федеральной службы государственной статистики по Амурской области в 2017 году </w:t>
      </w:r>
      <w:r w:rsidRPr="00290C49">
        <w:rPr>
          <w:rFonts w:ascii="Times New Roman" w:eastAsia="Times New Roman" w:hAnsi="Times New Roman" w:cs="Times New Roman"/>
          <w:i/>
          <w:sz w:val="24"/>
          <w:szCs w:val="24"/>
          <w:lang w:eastAsia="ru-RU"/>
        </w:rPr>
        <w:t>денежные доходы в среднем на душу населения</w:t>
      </w:r>
      <w:r w:rsidRPr="00290C49">
        <w:rPr>
          <w:rFonts w:ascii="Times New Roman" w:eastAsia="Times New Roman" w:hAnsi="Times New Roman" w:cs="Times New Roman"/>
          <w:sz w:val="24"/>
          <w:szCs w:val="24"/>
          <w:lang w:eastAsia="ru-RU"/>
        </w:rPr>
        <w:t xml:space="preserve"> </w:t>
      </w:r>
      <w:r w:rsidRPr="00290C49">
        <w:rPr>
          <w:rFonts w:ascii="Times New Roman" w:eastAsia="Times New Roman" w:hAnsi="Times New Roman" w:cs="Times New Roman"/>
          <w:i/>
          <w:sz w:val="24"/>
          <w:szCs w:val="24"/>
          <w:lang w:eastAsia="ru-RU"/>
        </w:rPr>
        <w:t>Амурской области в месяц</w:t>
      </w:r>
      <w:r w:rsidRPr="00290C49">
        <w:rPr>
          <w:rFonts w:ascii="Times New Roman" w:eastAsia="Times New Roman" w:hAnsi="Times New Roman" w:cs="Times New Roman"/>
          <w:sz w:val="24"/>
          <w:szCs w:val="24"/>
          <w:lang w:eastAsia="ru-RU"/>
        </w:rPr>
        <w:t xml:space="preserve"> составили 31772,9 рублей (в 2016 году – </w:t>
      </w:r>
      <w:r w:rsidRPr="00290C49">
        <w:rPr>
          <w:rFonts w:ascii="Times New Roman" w:eastAsia="Times New Roman" w:hAnsi="Times New Roman" w:cs="Times New Roman"/>
          <w:sz w:val="24"/>
          <w:szCs w:val="24"/>
          <w:lang w:eastAsia="ru-RU"/>
        </w:rPr>
        <w:br/>
        <w:t>29660,8 рубля). Ожидаемое значение денежных доходов на душу населения, установленное на 2017 год программой социально-экономического развития Амурской области на 2013-2017 годы, утвержденной Законом Амурской области от 13.11.2013 № 277-ОЗ</w:t>
      </w:r>
      <w:r>
        <w:rPr>
          <w:rFonts w:ascii="Times New Roman" w:eastAsia="Times New Roman" w:hAnsi="Times New Roman" w:cs="Times New Roman"/>
          <w:sz w:val="24"/>
          <w:szCs w:val="24"/>
          <w:lang w:eastAsia="ru-RU"/>
        </w:rPr>
        <w:t>, выше фактически сложившегося на 5,7 тыс. рублей</w:t>
      </w:r>
      <w:r w:rsidRPr="00290C49">
        <w:rPr>
          <w:rFonts w:ascii="Times New Roman" w:eastAsia="Times New Roman" w:hAnsi="Times New Roman" w:cs="Times New Roman"/>
          <w:sz w:val="24"/>
          <w:szCs w:val="24"/>
          <w:lang w:eastAsia="ru-RU"/>
        </w:rPr>
        <w:t xml:space="preserve"> (программой в 2017 году предусмотрено </w:t>
      </w:r>
      <w:r>
        <w:rPr>
          <w:rFonts w:ascii="Times New Roman" w:eastAsia="Times New Roman" w:hAnsi="Times New Roman" w:cs="Times New Roman"/>
          <w:sz w:val="24"/>
          <w:szCs w:val="24"/>
          <w:lang w:eastAsia="ru-RU"/>
        </w:rPr>
        <w:br/>
      </w:r>
      <w:r w:rsidRPr="00290C49">
        <w:rPr>
          <w:rFonts w:ascii="Times New Roman" w:eastAsia="Times New Roman" w:hAnsi="Times New Roman" w:cs="Times New Roman"/>
          <w:sz w:val="24"/>
          <w:szCs w:val="24"/>
          <w:lang w:eastAsia="ru-RU"/>
        </w:rPr>
        <w:t xml:space="preserve">37,5 тыс. рублей на душу населения в месяц), на уровне значения, установленного </w:t>
      </w:r>
      <w:r w:rsidRPr="0045646E">
        <w:rPr>
          <w:rFonts w:ascii="Times New Roman" w:eastAsia="Times New Roman" w:hAnsi="Times New Roman" w:cs="Times New Roman"/>
          <w:sz w:val="24"/>
          <w:szCs w:val="24"/>
          <w:lang w:eastAsia="ru-RU"/>
        </w:rPr>
        <w:t>прогнозом социально-экономического развития Амурской области на</w:t>
      </w:r>
      <w:r w:rsidRPr="0045646E">
        <w:t xml:space="preserve"> </w:t>
      </w:r>
      <w:r w:rsidRPr="0045646E">
        <w:rPr>
          <w:rFonts w:ascii="Times New Roman" w:eastAsia="Times New Roman" w:hAnsi="Times New Roman" w:cs="Times New Roman"/>
          <w:sz w:val="24"/>
          <w:szCs w:val="24"/>
          <w:lang w:eastAsia="ru-RU"/>
        </w:rPr>
        <w:t>2017 год</w:t>
      </w:r>
      <w:r w:rsidR="008C30C5">
        <w:rPr>
          <w:rFonts w:ascii="Times New Roman" w:eastAsia="Times New Roman" w:hAnsi="Times New Roman" w:cs="Times New Roman"/>
          <w:sz w:val="24"/>
          <w:szCs w:val="24"/>
          <w:lang w:eastAsia="ru-RU"/>
        </w:rPr>
        <w:t>.</w:t>
      </w:r>
    </w:p>
    <w:p w:rsidR="00B5633D" w:rsidRPr="003770A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0AF">
        <w:rPr>
          <w:rFonts w:ascii="Times New Roman" w:eastAsia="Times New Roman" w:hAnsi="Times New Roman" w:cs="Times New Roman"/>
          <w:sz w:val="24"/>
          <w:szCs w:val="24"/>
          <w:lang w:eastAsia="ru-RU"/>
        </w:rPr>
        <w:t xml:space="preserve">В 2017 году денежные доходы превысили денежные расходы на 7780,2 млн. рублей. </w:t>
      </w:r>
      <w:r>
        <w:rPr>
          <w:rFonts w:ascii="Times New Roman" w:eastAsia="Times New Roman" w:hAnsi="Times New Roman" w:cs="Times New Roman"/>
          <w:sz w:val="24"/>
          <w:szCs w:val="24"/>
          <w:lang w:eastAsia="ru-RU"/>
        </w:rPr>
        <w:br/>
      </w:r>
      <w:r w:rsidRPr="003770AF">
        <w:rPr>
          <w:rFonts w:ascii="Times New Roman" w:eastAsia="Times New Roman" w:hAnsi="Times New Roman" w:cs="Times New Roman"/>
          <w:sz w:val="24"/>
          <w:szCs w:val="24"/>
          <w:lang w:eastAsia="ru-RU"/>
        </w:rPr>
        <w:t>В структуре использования денежных доходов населения традиционно преобладают расходы на покупку товаров, оплату услуг – 71,3 процента</w:t>
      </w:r>
      <w:r>
        <w:rPr>
          <w:rFonts w:ascii="Times New Roman" w:eastAsia="Times New Roman" w:hAnsi="Times New Roman" w:cs="Times New Roman"/>
          <w:sz w:val="24"/>
          <w:szCs w:val="24"/>
          <w:lang w:eastAsia="ru-RU"/>
        </w:rPr>
        <w:t>, р</w:t>
      </w:r>
      <w:r w:rsidRPr="003770AF">
        <w:rPr>
          <w:rFonts w:ascii="Times New Roman" w:eastAsia="Times New Roman" w:hAnsi="Times New Roman" w:cs="Times New Roman"/>
          <w:sz w:val="24"/>
          <w:szCs w:val="24"/>
          <w:lang w:eastAsia="ru-RU"/>
        </w:rPr>
        <w:t xml:space="preserve">асходы на обязательные платежи и добровольные взносы в структуре использования денежных доходов </w:t>
      </w:r>
      <w:r>
        <w:rPr>
          <w:rFonts w:ascii="Times New Roman" w:eastAsia="Times New Roman" w:hAnsi="Times New Roman" w:cs="Times New Roman"/>
          <w:sz w:val="24"/>
          <w:szCs w:val="24"/>
          <w:lang w:eastAsia="ru-RU"/>
        </w:rPr>
        <w:t xml:space="preserve">- </w:t>
      </w:r>
      <w:r w:rsidRPr="003770AF">
        <w:rPr>
          <w:rFonts w:ascii="Times New Roman" w:eastAsia="Times New Roman" w:hAnsi="Times New Roman" w:cs="Times New Roman"/>
          <w:sz w:val="24"/>
          <w:szCs w:val="24"/>
          <w:lang w:eastAsia="ru-RU"/>
        </w:rPr>
        <w:t xml:space="preserve">13,5 процента. </w:t>
      </w:r>
    </w:p>
    <w:p w:rsidR="00B5633D" w:rsidRPr="00FF7671"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671">
        <w:rPr>
          <w:rFonts w:ascii="Times New Roman" w:eastAsia="Times New Roman" w:hAnsi="Times New Roman" w:cs="Times New Roman"/>
          <w:sz w:val="24"/>
          <w:szCs w:val="24"/>
          <w:lang w:eastAsia="ru-RU"/>
        </w:rPr>
        <w:t>В 2017 году относительно 2016 года увеличилась доля сбережений во вкладах и ценных бумагах с 3,2 процента до 3,9 процента при одновременном снижении расходов на покупку валюты с 3,8 процента до 3,0 процент</w:t>
      </w:r>
      <w:r>
        <w:rPr>
          <w:rFonts w:ascii="Times New Roman" w:eastAsia="Times New Roman" w:hAnsi="Times New Roman" w:cs="Times New Roman"/>
          <w:sz w:val="24"/>
          <w:szCs w:val="24"/>
          <w:lang w:eastAsia="ru-RU"/>
        </w:rPr>
        <w:t>ов</w:t>
      </w:r>
      <w:r w:rsidRPr="00FF76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Значительно (в 5 раз) увеличилась доля средств, остающихся на руках у населения. </w:t>
      </w:r>
      <w:r w:rsidRPr="00FF7671">
        <w:rPr>
          <w:rFonts w:ascii="Times New Roman" w:eastAsia="Times New Roman" w:hAnsi="Times New Roman" w:cs="Times New Roman"/>
          <w:sz w:val="24"/>
          <w:szCs w:val="24"/>
          <w:lang w:eastAsia="ru-RU"/>
        </w:rPr>
        <w:t>Структура использования денежных доходов в 201</w:t>
      </w:r>
      <w:r>
        <w:rPr>
          <w:rFonts w:ascii="Times New Roman" w:eastAsia="Times New Roman" w:hAnsi="Times New Roman" w:cs="Times New Roman"/>
          <w:sz w:val="24"/>
          <w:szCs w:val="24"/>
          <w:lang w:eastAsia="ru-RU"/>
        </w:rPr>
        <w:t>6</w:t>
      </w:r>
      <w:r w:rsidRPr="00FF767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FF7671">
        <w:rPr>
          <w:rFonts w:ascii="Times New Roman" w:eastAsia="Times New Roman" w:hAnsi="Times New Roman" w:cs="Times New Roman"/>
          <w:sz w:val="24"/>
          <w:szCs w:val="24"/>
          <w:lang w:eastAsia="ru-RU"/>
        </w:rPr>
        <w:t xml:space="preserve"> годах приведена на рисунке 2.</w:t>
      </w:r>
    </w:p>
    <w:p w:rsidR="00B5633D" w:rsidRPr="008C30C5"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33CB9">
        <w:rPr>
          <w:noProof/>
          <w:color w:val="FF0000"/>
          <w:lang w:eastAsia="ru-RU"/>
        </w:rPr>
        <w:lastRenderedPageBreak/>
        <w:drawing>
          <wp:inline distT="0" distB="0" distL="0" distR="0" wp14:anchorId="782F4803" wp14:editId="48EA9167">
            <wp:extent cx="6010275" cy="274320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633D" w:rsidRPr="008C30C5"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B5633D" w:rsidRPr="00FF7671"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671">
        <w:rPr>
          <w:rFonts w:ascii="Times New Roman" w:eastAsia="Times New Roman" w:hAnsi="Times New Roman" w:cs="Times New Roman"/>
          <w:b/>
          <w:sz w:val="24"/>
          <w:szCs w:val="24"/>
          <w:lang w:eastAsia="ru-RU"/>
        </w:rPr>
        <w:t xml:space="preserve">Рис. 2 – Структура использования денежных доходов населения Амурской области </w:t>
      </w:r>
      <w:r w:rsidRPr="00FF7671">
        <w:rPr>
          <w:rFonts w:ascii="Times New Roman" w:eastAsia="Times New Roman" w:hAnsi="Times New Roman" w:cs="Times New Roman"/>
          <w:b/>
          <w:sz w:val="24"/>
          <w:szCs w:val="24"/>
          <w:lang w:eastAsia="ru-RU"/>
        </w:rPr>
        <w:br/>
        <w:t>в 2016-2017 годах, в процентах</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B5633D" w:rsidRPr="00FF7671"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671">
        <w:rPr>
          <w:rFonts w:ascii="Times New Roman" w:eastAsia="Times New Roman" w:hAnsi="Times New Roman" w:cs="Times New Roman"/>
          <w:i/>
          <w:sz w:val="24"/>
          <w:szCs w:val="24"/>
          <w:lang w:eastAsia="ru-RU"/>
        </w:rPr>
        <w:t>Среднемесячная начисленная заработная плата работников</w:t>
      </w:r>
      <w:r w:rsidRPr="00FF7671">
        <w:rPr>
          <w:rFonts w:ascii="Times New Roman" w:eastAsia="Times New Roman" w:hAnsi="Times New Roman" w:cs="Times New Roman"/>
          <w:sz w:val="24"/>
          <w:szCs w:val="24"/>
          <w:lang w:eastAsia="ru-RU"/>
        </w:rPr>
        <w:t xml:space="preserve"> в среднем по Амурской области в 2017 году сложилась в размере 37362,0 рубля (прирост по отношению к уровню </w:t>
      </w:r>
      <w:r w:rsidRPr="00FF7671">
        <w:rPr>
          <w:rFonts w:ascii="Times New Roman" w:eastAsia="Times New Roman" w:hAnsi="Times New Roman" w:cs="Times New Roman"/>
          <w:sz w:val="24"/>
          <w:szCs w:val="24"/>
          <w:lang w:eastAsia="ru-RU"/>
        </w:rPr>
        <w:br/>
        <w:t>201</w:t>
      </w:r>
      <w:r w:rsidR="008C30C5">
        <w:rPr>
          <w:rFonts w:ascii="Times New Roman" w:eastAsia="Times New Roman" w:hAnsi="Times New Roman" w:cs="Times New Roman"/>
          <w:sz w:val="24"/>
          <w:szCs w:val="24"/>
          <w:lang w:eastAsia="ru-RU"/>
        </w:rPr>
        <w:t>6 года составил 10,4 процента).</w:t>
      </w:r>
    </w:p>
    <w:p w:rsidR="00B5633D" w:rsidRPr="008C30C5"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671">
        <w:rPr>
          <w:rFonts w:ascii="Times New Roman" w:eastAsia="Times New Roman" w:hAnsi="Times New Roman" w:cs="Times New Roman"/>
          <w:i/>
          <w:sz w:val="24"/>
          <w:szCs w:val="24"/>
          <w:lang w:eastAsia="ru-RU"/>
        </w:rPr>
        <w:t xml:space="preserve">Реальная начисленная заработная плата </w:t>
      </w:r>
      <w:r w:rsidRPr="00FF7671">
        <w:rPr>
          <w:rFonts w:ascii="Times New Roman" w:eastAsia="Times New Roman" w:hAnsi="Times New Roman" w:cs="Times New Roman"/>
          <w:sz w:val="24"/>
          <w:szCs w:val="24"/>
          <w:lang w:eastAsia="ru-RU"/>
        </w:rPr>
        <w:t>в 2017 году по отношению к показателю за 2016 год возросла на 7,4 процента.</w:t>
      </w:r>
    </w:p>
    <w:p w:rsidR="00B5633D" w:rsidRPr="00377A4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A44">
        <w:rPr>
          <w:rFonts w:ascii="Times New Roman" w:eastAsia="Times New Roman" w:hAnsi="Times New Roman" w:cs="Times New Roman"/>
          <w:sz w:val="24"/>
          <w:szCs w:val="24"/>
          <w:lang w:eastAsia="ru-RU"/>
        </w:rPr>
        <w:t xml:space="preserve">Реальные располагаемые денежные доходы (доходы за вычетом обязательных платежей, скорректированные на индекс потребительских цен на товары и услуги) в 2017 году по сравнению с 2016 годом возросли на 2,1 процента. </w:t>
      </w:r>
    </w:p>
    <w:p w:rsidR="00B5633D" w:rsidRPr="00377A4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A44">
        <w:rPr>
          <w:rFonts w:ascii="Times New Roman" w:eastAsia="Times New Roman" w:hAnsi="Times New Roman" w:cs="Times New Roman"/>
          <w:sz w:val="24"/>
          <w:szCs w:val="24"/>
          <w:lang w:eastAsia="ru-RU"/>
        </w:rPr>
        <w:t xml:space="preserve">Соотношение денежных доходов в среднем на душу населения в месяц, величины прожиточного минимума и </w:t>
      </w:r>
      <w:r w:rsidR="0007128F">
        <w:rPr>
          <w:rFonts w:ascii="Times New Roman" w:eastAsia="Times New Roman" w:hAnsi="Times New Roman" w:cs="Times New Roman"/>
          <w:sz w:val="24"/>
          <w:szCs w:val="24"/>
          <w:lang w:eastAsia="ru-RU"/>
        </w:rPr>
        <w:t>доля</w:t>
      </w:r>
      <w:r w:rsidRPr="00377A44">
        <w:rPr>
          <w:rFonts w:ascii="Times New Roman" w:eastAsia="Times New Roman" w:hAnsi="Times New Roman" w:cs="Times New Roman"/>
          <w:sz w:val="24"/>
          <w:szCs w:val="24"/>
          <w:lang w:eastAsia="ru-RU"/>
        </w:rPr>
        <w:t xml:space="preserve"> населения с доходами ниже прожиточного минимума приведены на рисунке 3.</w:t>
      </w:r>
    </w:p>
    <w:p w:rsidR="00B5633D" w:rsidRPr="0007128F" w:rsidRDefault="00B5633D" w:rsidP="00B5633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33CB9">
        <w:rPr>
          <w:rFonts w:ascii="Times New Roman" w:eastAsia="Times New Roman" w:hAnsi="Times New Roman" w:cs="Times New Roman"/>
          <w:noProof/>
          <w:color w:val="FF0000"/>
          <w:sz w:val="24"/>
          <w:szCs w:val="24"/>
          <w:highlight w:val="yellow"/>
          <w:shd w:val="clear" w:color="auto" w:fill="92D050"/>
          <w:lang w:eastAsia="ru-RU"/>
        </w:rPr>
        <w:drawing>
          <wp:inline distT="0" distB="0" distL="0" distR="0" wp14:anchorId="69D8EF10" wp14:editId="42582010">
            <wp:extent cx="6315075" cy="3314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33D" w:rsidRPr="00377A44"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A44">
        <w:rPr>
          <w:rFonts w:ascii="Times New Roman" w:eastAsia="Times New Roman" w:hAnsi="Times New Roman" w:cs="Times New Roman"/>
          <w:b/>
          <w:sz w:val="24"/>
          <w:szCs w:val="24"/>
          <w:lang w:eastAsia="ru-RU"/>
        </w:rPr>
        <w:t>Рис. 3 - Денежные доходы в среднем на душу населения в месяц, величина прожиточного минимума и доля населения с доходами ниже прожиточного минимума в Амурской области в 2014-2017 годах</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33D" w:rsidRPr="00377A4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A44">
        <w:rPr>
          <w:rFonts w:ascii="Times New Roman" w:eastAsia="Times New Roman" w:hAnsi="Times New Roman" w:cs="Times New Roman"/>
          <w:sz w:val="24"/>
          <w:szCs w:val="24"/>
          <w:lang w:eastAsia="ru-RU"/>
        </w:rPr>
        <w:lastRenderedPageBreak/>
        <w:t>По состоянию на 01.01.2018</w:t>
      </w:r>
      <w:r w:rsidRPr="00377A44">
        <w:rPr>
          <w:rFonts w:ascii="Times New Roman" w:eastAsia="Times New Roman" w:hAnsi="Times New Roman" w:cs="Times New Roman"/>
          <w:i/>
          <w:sz w:val="24"/>
          <w:szCs w:val="24"/>
          <w:lang w:eastAsia="ru-RU"/>
        </w:rPr>
        <w:t xml:space="preserve"> просроченная задолженность по заработной плате</w:t>
      </w:r>
      <w:r w:rsidRPr="00377A44">
        <w:rPr>
          <w:rFonts w:ascii="Times New Roman" w:eastAsia="Times New Roman" w:hAnsi="Times New Roman" w:cs="Times New Roman"/>
          <w:sz w:val="24"/>
          <w:szCs w:val="24"/>
          <w:lang w:eastAsia="ru-RU"/>
        </w:rPr>
        <w:t xml:space="preserve"> в Амурской области составила </w:t>
      </w:r>
      <w:r w:rsidR="0007128F">
        <w:rPr>
          <w:rFonts w:ascii="Times New Roman" w:eastAsia="Times New Roman" w:hAnsi="Times New Roman" w:cs="Times New Roman"/>
          <w:sz w:val="24"/>
          <w:szCs w:val="24"/>
          <w:lang w:eastAsia="ru-RU"/>
        </w:rPr>
        <w:t>8,6</w:t>
      </w:r>
      <w:r w:rsidR="00031D50">
        <w:rPr>
          <w:rFonts w:ascii="Times New Roman" w:eastAsia="Times New Roman" w:hAnsi="Times New Roman" w:cs="Times New Roman"/>
          <w:sz w:val="24"/>
          <w:szCs w:val="24"/>
          <w:lang w:eastAsia="ru-RU"/>
        </w:rPr>
        <w:t xml:space="preserve"> </w:t>
      </w:r>
      <w:r w:rsidR="0007128F">
        <w:rPr>
          <w:rFonts w:ascii="Times New Roman" w:eastAsia="Times New Roman" w:hAnsi="Times New Roman" w:cs="Times New Roman"/>
          <w:sz w:val="24"/>
          <w:szCs w:val="24"/>
          <w:lang w:eastAsia="ru-RU"/>
        </w:rPr>
        <w:t>млн</w:t>
      </w:r>
      <w:r w:rsidRPr="00377A44">
        <w:rPr>
          <w:rFonts w:ascii="Times New Roman" w:eastAsia="Times New Roman" w:hAnsi="Times New Roman" w:cs="Times New Roman"/>
          <w:sz w:val="24"/>
          <w:szCs w:val="24"/>
          <w:lang w:eastAsia="ru-RU"/>
        </w:rPr>
        <w:t xml:space="preserve">. рублей. Динамика просроченной задолженности </w:t>
      </w:r>
      <w:r w:rsidR="00031D50">
        <w:rPr>
          <w:rFonts w:ascii="Times New Roman" w:eastAsia="Times New Roman" w:hAnsi="Times New Roman" w:cs="Times New Roman"/>
          <w:sz w:val="24"/>
          <w:szCs w:val="24"/>
          <w:lang w:eastAsia="ru-RU"/>
        </w:rPr>
        <w:br/>
      </w:r>
      <w:r w:rsidRPr="00377A44">
        <w:rPr>
          <w:rFonts w:ascii="Times New Roman" w:eastAsia="Times New Roman" w:hAnsi="Times New Roman" w:cs="Times New Roman"/>
          <w:sz w:val="24"/>
          <w:szCs w:val="24"/>
          <w:lang w:eastAsia="ru-RU"/>
        </w:rPr>
        <w:t>в 2017 году представлена на рисунке 4.</w:t>
      </w:r>
    </w:p>
    <w:p w:rsidR="00B5633D" w:rsidRPr="00377A44"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3CB9">
        <w:rPr>
          <w:rFonts w:ascii="Times New Roman" w:hAnsi="Times New Roman" w:cs="Times New Roman"/>
          <w:noProof/>
          <w:color w:val="FF0000"/>
          <w:lang w:eastAsia="ru-RU"/>
        </w:rPr>
        <w:drawing>
          <wp:inline distT="0" distB="0" distL="0" distR="0" wp14:anchorId="49D2EB31" wp14:editId="3B95876D">
            <wp:extent cx="6096000" cy="2486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633D" w:rsidRPr="00377A44"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A44">
        <w:rPr>
          <w:rFonts w:ascii="Times New Roman" w:eastAsia="Times New Roman" w:hAnsi="Times New Roman" w:cs="Times New Roman"/>
          <w:b/>
          <w:sz w:val="24"/>
          <w:szCs w:val="24"/>
          <w:lang w:eastAsia="ru-RU"/>
        </w:rPr>
        <w:t xml:space="preserve">Рис. 4 – Просроченная задолженность по заработной плате на начало </w:t>
      </w:r>
      <w:r w:rsidRPr="00377A44">
        <w:rPr>
          <w:rFonts w:ascii="Times New Roman" w:eastAsia="Times New Roman" w:hAnsi="Times New Roman" w:cs="Times New Roman"/>
          <w:b/>
          <w:sz w:val="24"/>
          <w:szCs w:val="24"/>
          <w:lang w:eastAsia="ru-RU"/>
        </w:rPr>
        <w:br/>
        <w:t>месяца, млн. рублей</w:t>
      </w:r>
    </w:p>
    <w:p w:rsidR="00B5633D" w:rsidRPr="008544A7"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4A7">
        <w:rPr>
          <w:rFonts w:ascii="Times New Roman" w:eastAsia="Times New Roman" w:hAnsi="Times New Roman" w:cs="Times New Roman"/>
          <w:sz w:val="24"/>
          <w:szCs w:val="24"/>
          <w:lang w:eastAsia="ru-RU"/>
        </w:rPr>
        <w:t xml:space="preserve">Вся просроченная задолженность по заработной плате по состоянию на </w:t>
      </w:r>
      <w:r>
        <w:rPr>
          <w:rFonts w:ascii="Times New Roman" w:eastAsia="Times New Roman" w:hAnsi="Times New Roman" w:cs="Times New Roman"/>
          <w:sz w:val="24"/>
          <w:szCs w:val="24"/>
          <w:lang w:eastAsia="ru-RU"/>
        </w:rPr>
        <w:t>0</w:t>
      </w:r>
      <w:r w:rsidRPr="008544A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r w:rsidRPr="008544A7">
        <w:rPr>
          <w:rFonts w:ascii="Times New Roman" w:eastAsia="Times New Roman" w:hAnsi="Times New Roman" w:cs="Times New Roman"/>
          <w:sz w:val="24"/>
          <w:szCs w:val="24"/>
          <w:lang w:eastAsia="ru-RU"/>
        </w:rPr>
        <w:t>2018 образовалась из-за отсутствия собственных средств на предприятиях и</w:t>
      </w:r>
      <w:r>
        <w:rPr>
          <w:rFonts w:ascii="Times New Roman" w:eastAsia="Times New Roman" w:hAnsi="Times New Roman" w:cs="Times New Roman"/>
          <w:sz w:val="24"/>
          <w:szCs w:val="24"/>
          <w:lang w:eastAsia="ru-RU"/>
        </w:rPr>
        <w:t xml:space="preserve"> в</w:t>
      </w:r>
      <w:r w:rsidRPr="008544A7">
        <w:rPr>
          <w:rFonts w:ascii="Times New Roman" w:eastAsia="Times New Roman" w:hAnsi="Times New Roman" w:cs="Times New Roman"/>
          <w:sz w:val="24"/>
          <w:szCs w:val="24"/>
          <w:lang w:eastAsia="ru-RU"/>
        </w:rPr>
        <w:t xml:space="preserve"> организациях Амурской области. При этом большая часть из них 74,7</w:t>
      </w:r>
      <w:r>
        <w:rPr>
          <w:rFonts w:ascii="Times New Roman" w:eastAsia="Times New Roman" w:hAnsi="Times New Roman" w:cs="Times New Roman"/>
          <w:sz w:val="24"/>
          <w:szCs w:val="24"/>
          <w:lang w:eastAsia="ru-RU"/>
        </w:rPr>
        <w:t xml:space="preserve"> процента</w:t>
      </w:r>
      <w:r w:rsidRPr="008544A7">
        <w:rPr>
          <w:rFonts w:ascii="Times New Roman" w:eastAsia="Times New Roman" w:hAnsi="Times New Roman" w:cs="Times New Roman"/>
          <w:sz w:val="24"/>
          <w:szCs w:val="24"/>
          <w:lang w:eastAsia="ru-RU"/>
        </w:rPr>
        <w:t>, или 6,4 млн. рублей</w:t>
      </w:r>
      <w:r>
        <w:rPr>
          <w:rFonts w:ascii="Times New Roman" w:eastAsia="Times New Roman" w:hAnsi="Times New Roman" w:cs="Times New Roman"/>
          <w:sz w:val="24"/>
          <w:szCs w:val="24"/>
          <w:lang w:eastAsia="ru-RU"/>
        </w:rPr>
        <w:t>,</w:t>
      </w:r>
      <w:r w:rsidRPr="008544A7">
        <w:rPr>
          <w:rFonts w:ascii="Times New Roman" w:eastAsia="Times New Roman" w:hAnsi="Times New Roman" w:cs="Times New Roman"/>
          <w:sz w:val="24"/>
          <w:szCs w:val="24"/>
          <w:lang w:eastAsia="ru-RU"/>
        </w:rPr>
        <w:t xml:space="preserve"> приходится на строительные организации области</w:t>
      </w:r>
    </w:p>
    <w:p w:rsidR="00B5633D" w:rsidRPr="00377A4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77A44">
        <w:rPr>
          <w:rFonts w:ascii="Times New Roman" w:eastAsia="Times New Roman" w:hAnsi="Times New Roman" w:cs="Times New Roman"/>
          <w:sz w:val="24"/>
          <w:szCs w:val="24"/>
          <w:u w:val="single"/>
          <w:lang w:eastAsia="ru-RU"/>
        </w:rPr>
        <w:t>1.1.4. Социальная поддержка населения.</w:t>
      </w:r>
    </w:p>
    <w:p w:rsidR="00B5633D" w:rsidRPr="005D38F9"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8F9">
        <w:rPr>
          <w:rFonts w:ascii="Times New Roman" w:eastAsia="Times New Roman" w:hAnsi="Times New Roman" w:cs="Times New Roman"/>
          <w:i/>
          <w:sz w:val="24"/>
          <w:szCs w:val="24"/>
          <w:lang w:eastAsia="ru-RU"/>
        </w:rPr>
        <w:t>Расходы консолидированного бюджета за январь-декабрь 2017 года на оказание мер социальной поддержки</w:t>
      </w:r>
      <w:r w:rsidRPr="005D38F9">
        <w:rPr>
          <w:rFonts w:ascii="Times New Roman" w:eastAsia="Times New Roman" w:hAnsi="Times New Roman" w:cs="Times New Roman"/>
          <w:sz w:val="24"/>
          <w:szCs w:val="24"/>
          <w:lang w:eastAsia="ru-RU"/>
        </w:rPr>
        <w:t xml:space="preserve"> населения составили 5535708,0 тыс. рублей, в том числе денежные выплаты – 2093281 тыс. рублей.</w:t>
      </w:r>
    </w:p>
    <w:p w:rsidR="00B5633D" w:rsidRPr="005D38F9"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8F9">
        <w:rPr>
          <w:rFonts w:ascii="Times New Roman" w:eastAsia="Times New Roman" w:hAnsi="Times New Roman" w:cs="Times New Roman"/>
          <w:sz w:val="24"/>
          <w:szCs w:val="24"/>
          <w:lang w:eastAsia="ru-RU"/>
        </w:rPr>
        <w:t>В 2017 году увеличилось количество получателей мер социальной поддержки за счет средств консолидированного бюджета Амурской области по следующим категориям:</w:t>
      </w:r>
    </w:p>
    <w:p w:rsidR="00B5633D" w:rsidRPr="005D38F9" w:rsidRDefault="00B5633D" w:rsidP="009F6A70">
      <w:pPr>
        <w:pStyle w:val="afa"/>
        <w:numPr>
          <w:ilvl w:val="0"/>
          <w:numId w:val="2"/>
        </w:numPr>
        <w:tabs>
          <w:tab w:val="left" w:pos="0"/>
          <w:tab w:val="left" w:pos="851"/>
        </w:tabs>
        <w:jc w:val="both"/>
        <w:rPr>
          <w:sz w:val="24"/>
          <w:szCs w:val="24"/>
        </w:rPr>
      </w:pPr>
      <w:r w:rsidRPr="005D38F9">
        <w:rPr>
          <w:sz w:val="24"/>
          <w:szCs w:val="24"/>
        </w:rPr>
        <w:t>ветераны труда – 49350 человек (больше, чем в 2016 году на 2949 человек);</w:t>
      </w:r>
    </w:p>
    <w:p w:rsidR="00B5633D" w:rsidRPr="005D38F9" w:rsidRDefault="00B5633D" w:rsidP="009F6A70">
      <w:pPr>
        <w:pStyle w:val="afa"/>
        <w:numPr>
          <w:ilvl w:val="0"/>
          <w:numId w:val="2"/>
        </w:numPr>
        <w:tabs>
          <w:tab w:val="left" w:pos="0"/>
          <w:tab w:val="left" w:pos="851"/>
        </w:tabs>
        <w:ind w:left="0" w:firstLine="709"/>
        <w:jc w:val="both"/>
        <w:rPr>
          <w:sz w:val="24"/>
          <w:szCs w:val="24"/>
        </w:rPr>
      </w:pPr>
      <w:r w:rsidRPr="005D38F9">
        <w:rPr>
          <w:sz w:val="24"/>
          <w:szCs w:val="24"/>
        </w:rPr>
        <w:t>пенсионеры из числа бывших государственных служащих – 653 человек (больше, чем в 2016 году на 14 человек);</w:t>
      </w:r>
    </w:p>
    <w:p w:rsidR="00B5633D" w:rsidRPr="005D38F9" w:rsidRDefault="00B5633D" w:rsidP="009F6A70">
      <w:pPr>
        <w:pStyle w:val="afa"/>
        <w:numPr>
          <w:ilvl w:val="0"/>
          <w:numId w:val="2"/>
        </w:numPr>
        <w:tabs>
          <w:tab w:val="left" w:pos="851"/>
        </w:tabs>
        <w:ind w:hanging="219"/>
        <w:jc w:val="both"/>
        <w:rPr>
          <w:sz w:val="24"/>
          <w:szCs w:val="24"/>
        </w:rPr>
      </w:pPr>
      <w:r w:rsidRPr="005D38F9">
        <w:rPr>
          <w:sz w:val="24"/>
          <w:szCs w:val="24"/>
        </w:rPr>
        <w:t>доноры – 2194 человека (больше, чем в 2016 году на 32 человека);</w:t>
      </w:r>
    </w:p>
    <w:p w:rsidR="00B5633D" w:rsidRPr="005D38F9" w:rsidRDefault="00B5633D" w:rsidP="009F6A70">
      <w:pPr>
        <w:pStyle w:val="afa"/>
        <w:numPr>
          <w:ilvl w:val="0"/>
          <w:numId w:val="2"/>
        </w:numPr>
        <w:tabs>
          <w:tab w:val="left" w:pos="851"/>
        </w:tabs>
        <w:ind w:left="0" w:firstLine="709"/>
        <w:jc w:val="both"/>
        <w:rPr>
          <w:sz w:val="24"/>
          <w:szCs w:val="24"/>
        </w:rPr>
      </w:pPr>
      <w:r w:rsidRPr="005D38F9">
        <w:rPr>
          <w:sz w:val="24"/>
          <w:szCs w:val="24"/>
        </w:rPr>
        <w:t>ветераны военной службы – 1793 человек (больше, чем в 2016 году на 85 человек);</w:t>
      </w:r>
    </w:p>
    <w:p w:rsidR="00B5633D" w:rsidRDefault="00B5633D" w:rsidP="009F6A70">
      <w:pPr>
        <w:pStyle w:val="afa"/>
        <w:numPr>
          <w:ilvl w:val="0"/>
          <w:numId w:val="2"/>
        </w:numPr>
        <w:tabs>
          <w:tab w:val="left" w:pos="851"/>
        </w:tabs>
        <w:ind w:left="0" w:firstLine="709"/>
        <w:jc w:val="both"/>
        <w:rPr>
          <w:sz w:val="24"/>
          <w:szCs w:val="24"/>
        </w:rPr>
      </w:pPr>
      <w:r w:rsidRPr="005D38F9">
        <w:rPr>
          <w:sz w:val="24"/>
          <w:szCs w:val="24"/>
        </w:rPr>
        <w:t>дети из отдельных категорий семей</w:t>
      </w:r>
      <w:r>
        <w:rPr>
          <w:sz w:val="24"/>
          <w:szCs w:val="24"/>
        </w:rPr>
        <w:t xml:space="preserve"> (малоимущие)</w:t>
      </w:r>
      <w:r w:rsidRPr="005D38F9">
        <w:rPr>
          <w:sz w:val="24"/>
          <w:szCs w:val="24"/>
        </w:rPr>
        <w:t xml:space="preserve"> – 36869 человек (больше, чем в 2016 году на 19050 человек)</w:t>
      </w:r>
      <w:r>
        <w:rPr>
          <w:sz w:val="24"/>
          <w:szCs w:val="24"/>
        </w:rPr>
        <w:t>;</w:t>
      </w:r>
    </w:p>
    <w:p w:rsidR="00B5633D" w:rsidRPr="005D38F9" w:rsidRDefault="00B5633D" w:rsidP="009F6A70">
      <w:pPr>
        <w:pStyle w:val="afa"/>
        <w:numPr>
          <w:ilvl w:val="0"/>
          <w:numId w:val="2"/>
        </w:numPr>
        <w:tabs>
          <w:tab w:val="left" w:pos="851"/>
        </w:tabs>
        <w:ind w:left="0" w:firstLine="709"/>
        <w:jc w:val="both"/>
        <w:rPr>
          <w:sz w:val="24"/>
          <w:szCs w:val="24"/>
        </w:rPr>
      </w:pPr>
      <w:r>
        <w:rPr>
          <w:sz w:val="24"/>
          <w:szCs w:val="24"/>
        </w:rPr>
        <w:t>дети сироты, дети, оставшиеся без попечения родителей – 4106 человек (больше, чем в 2016 году на 2465 человек)</w:t>
      </w:r>
      <w:r w:rsidRPr="005D38F9">
        <w:rPr>
          <w:sz w:val="24"/>
          <w:szCs w:val="24"/>
        </w:rPr>
        <w:t>.</w:t>
      </w:r>
    </w:p>
    <w:p w:rsidR="00B5633D" w:rsidRPr="005D38F9"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8F9">
        <w:rPr>
          <w:rFonts w:ascii="Times New Roman" w:eastAsia="Times New Roman" w:hAnsi="Times New Roman" w:cs="Times New Roman"/>
          <w:sz w:val="24"/>
          <w:szCs w:val="24"/>
          <w:lang w:eastAsia="ru-RU"/>
        </w:rPr>
        <w:t xml:space="preserve">За счет бюджетных средств в 2017 году </w:t>
      </w:r>
      <w:r w:rsidRPr="005D38F9">
        <w:rPr>
          <w:rFonts w:ascii="Times New Roman" w:eastAsia="Times New Roman" w:hAnsi="Times New Roman" w:cs="Times New Roman"/>
          <w:i/>
          <w:sz w:val="24"/>
          <w:szCs w:val="24"/>
          <w:lang w:eastAsia="ru-RU"/>
        </w:rPr>
        <w:t>единовременную денежную выплату получили</w:t>
      </w:r>
      <w:r w:rsidRPr="005D38F9">
        <w:rPr>
          <w:rFonts w:ascii="Times New Roman" w:eastAsia="Times New Roman" w:hAnsi="Times New Roman" w:cs="Times New Roman"/>
          <w:sz w:val="24"/>
          <w:szCs w:val="24"/>
          <w:lang w:eastAsia="ru-RU"/>
        </w:rPr>
        <w:t>:</w:t>
      </w:r>
    </w:p>
    <w:p w:rsidR="00B5633D" w:rsidRPr="005D38F9" w:rsidRDefault="00B5633D" w:rsidP="009F6A70">
      <w:pPr>
        <w:pStyle w:val="afa"/>
        <w:numPr>
          <w:ilvl w:val="0"/>
          <w:numId w:val="3"/>
        </w:numPr>
        <w:tabs>
          <w:tab w:val="left" w:pos="851"/>
        </w:tabs>
        <w:ind w:left="0" w:firstLine="709"/>
        <w:jc w:val="both"/>
        <w:rPr>
          <w:sz w:val="24"/>
          <w:szCs w:val="24"/>
        </w:rPr>
      </w:pPr>
      <w:r w:rsidRPr="005D38F9">
        <w:rPr>
          <w:sz w:val="24"/>
          <w:szCs w:val="24"/>
        </w:rPr>
        <w:t xml:space="preserve">414 ветеранов ВОВ, кроме тружеников тыла (больше, чем в 2016 году на </w:t>
      </w:r>
      <w:r>
        <w:rPr>
          <w:sz w:val="24"/>
          <w:szCs w:val="24"/>
        </w:rPr>
        <w:br/>
      </w:r>
      <w:r w:rsidRPr="005D38F9">
        <w:rPr>
          <w:sz w:val="24"/>
          <w:szCs w:val="24"/>
        </w:rPr>
        <w:t xml:space="preserve">344 человека); </w:t>
      </w:r>
    </w:p>
    <w:p w:rsidR="00B5633D" w:rsidRPr="005D38F9" w:rsidRDefault="00B5633D" w:rsidP="009F6A70">
      <w:pPr>
        <w:pStyle w:val="afa"/>
        <w:numPr>
          <w:ilvl w:val="0"/>
          <w:numId w:val="3"/>
        </w:numPr>
        <w:tabs>
          <w:tab w:val="left" w:pos="851"/>
        </w:tabs>
        <w:ind w:left="0" w:firstLine="709"/>
        <w:jc w:val="both"/>
        <w:rPr>
          <w:sz w:val="24"/>
          <w:szCs w:val="24"/>
        </w:rPr>
      </w:pPr>
      <w:r w:rsidRPr="005D38F9">
        <w:rPr>
          <w:sz w:val="24"/>
          <w:szCs w:val="24"/>
        </w:rPr>
        <w:t xml:space="preserve">13434 малоимущих граждан (меньше, чем в 2016 году на 27779 человек); </w:t>
      </w:r>
    </w:p>
    <w:p w:rsidR="00B5633D" w:rsidRPr="005D38F9" w:rsidRDefault="00B5633D" w:rsidP="009F6A70">
      <w:pPr>
        <w:pStyle w:val="afa"/>
        <w:numPr>
          <w:ilvl w:val="0"/>
          <w:numId w:val="3"/>
        </w:numPr>
        <w:tabs>
          <w:tab w:val="left" w:pos="851"/>
        </w:tabs>
        <w:ind w:left="0" w:firstLine="709"/>
        <w:jc w:val="both"/>
        <w:rPr>
          <w:sz w:val="24"/>
          <w:szCs w:val="24"/>
        </w:rPr>
      </w:pPr>
      <w:r w:rsidRPr="005D38F9">
        <w:rPr>
          <w:sz w:val="24"/>
          <w:szCs w:val="24"/>
        </w:rPr>
        <w:t>16601 детей из малоимущих семей (больше, чем в 2016 году на 677 человек).</w:t>
      </w:r>
    </w:p>
    <w:p w:rsidR="00B5633D" w:rsidRPr="00FF466B"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66B">
        <w:rPr>
          <w:rFonts w:ascii="Times New Roman" w:eastAsia="Times New Roman" w:hAnsi="Times New Roman" w:cs="Times New Roman"/>
          <w:sz w:val="24"/>
          <w:szCs w:val="24"/>
          <w:lang w:eastAsia="ru-RU"/>
        </w:rPr>
        <w:t xml:space="preserve">За январь-декабрь 2017 года </w:t>
      </w:r>
      <w:r w:rsidRPr="00FF466B">
        <w:rPr>
          <w:rFonts w:ascii="Times New Roman" w:eastAsia="Times New Roman" w:hAnsi="Times New Roman" w:cs="Times New Roman"/>
          <w:i/>
          <w:sz w:val="24"/>
          <w:szCs w:val="24"/>
          <w:lang w:eastAsia="ru-RU"/>
        </w:rPr>
        <w:t>общая численность граждан, пользующихся социальной поддержкой по оплате жилья и коммунальных услуг в денежной форме</w:t>
      </w:r>
      <w:r w:rsidRPr="00FF466B">
        <w:rPr>
          <w:rFonts w:ascii="Times New Roman" w:eastAsia="Times New Roman" w:hAnsi="Times New Roman" w:cs="Times New Roman"/>
          <w:sz w:val="24"/>
          <w:szCs w:val="24"/>
          <w:lang w:eastAsia="ru-RU"/>
        </w:rPr>
        <w:t xml:space="preserve">, на основании действующего законодательства составила177,4 тыс. человек (за январь-декабрь 2016 года – 184,5 тыс. человек). Среднемесячный размер социальной поддержки на одного пользователя в целом по области за 2016 год составил 1022,83  рубля (за январь-декабрь 2016 года – </w:t>
      </w:r>
      <w:r>
        <w:rPr>
          <w:rFonts w:ascii="Times New Roman" w:eastAsia="Times New Roman" w:hAnsi="Times New Roman" w:cs="Times New Roman"/>
          <w:sz w:val="24"/>
          <w:szCs w:val="24"/>
          <w:lang w:eastAsia="ru-RU"/>
        </w:rPr>
        <w:br/>
      </w:r>
      <w:r w:rsidRPr="00FF466B">
        <w:rPr>
          <w:rFonts w:ascii="Times New Roman" w:eastAsia="Times New Roman" w:hAnsi="Times New Roman" w:cs="Times New Roman"/>
          <w:sz w:val="24"/>
          <w:szCs w:val="24"/>
          <w:lang w:eastAsia="ru-RU"/>
        </w:rPr>
        <w:t xml:space="preserve">993,49 рубля). </w:t>
      </w:r>
    </w:p>
    <w:p w:rsidR="00B5633D" w:rsidRPr="00D16FE7"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FE7">
        <w:rPr>
          <w:rFonts w:ascii="Times New Roman" w:eastAsia="Times New Roman" w:hAnsi="Times New Roman" w:cs="Times New Roman"/>
          <w:i/>
          <w:sz w:val="24"/>
          <w:szCs w:val="24"/>
          <w:lang w:eastAsia="ru-RU"/>
        </w:rPr>
        <w:t xml:space="preserve">Численность получателей субсидий на оплату жилого помещения и коммунальных услуг </w:t>
      </w:r>
      <w:r w:rsidRPr="00D16FE7">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14.12.2005 </w:t>
      </w:r>
      <w:r w:rsidRPr="00D16FE7">
        <w:rPr>
          <w:rFonts w:ascii="Times New Roman" w:eastAsia="Times New Roman" w:hAnsi="Times New Roman" w:cs="Times New Roman"/>
          <w:sz w:val="24"/>
          <w:szCs w:val="24"/>
          <w:lang w:eastAsia="ru-RU"/>
        </w:rPr>
        <w:lastRenderedPageBreak/>
        <w:t>№ 761 в январе-декабре 2017 года составила 40,2 тыс. семей, или 12,2 процента от всех семей, проживающих в области (за аналогичный период 2016 г. – 12,8 процента).</w:t>
      </w:r>
      <w:r w:rsidRPr="00D16FE7">
        <w:t xml:space="preserve"> </w:t>
      </w:r>
      <w:r w:rsidRPr="00D16FE7">
        <w:rPr>
          <w:rFonts w:ascii="Times New Roman" w:eastAsia="Times New Roman" w:hAnsi="Times New Roman" w:cs="Times New Roman"/>
          <w:sz w:val="24"/>
          <w:szCs w:val="24"/>
          <w:lang w:eastAsia="ru-RU"/>
        </w:rPr>
        <w:t>Среднемесячный размер субсидий на одну семью составил</w:t>
      </w:r>
      <w:r w:rsidRPr="00D16FE7">
        <w:t xml:space="preserve"> </w:t>
      </w:r>
      <w:r w:rsidRPr="00D16FE7">
        <w:rPr>
          <w:rFonts w:ascii="Times New Roman" w:eastAsia="Times New Roman" w:hAnsi="Times New Roman" w:cs="Times New Roman"/>
          <w:sz w:val="24"/>
          <w:szCs w:val="24"/>
          <w:lang w:eastAsia="ru-RU"/>
        </w:rPr>
        <w:t>1925,12 рубля, и снизился по сравнению с январем-декабрем 2016 года на 5,5 процента.</w:t>
      </w:r>
    </w:p>
    <w:p w:rsidR="00B5633D" w:rsidRPr="00FF466B"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66B">
        <w:rPr>
          <w:rFonts w:ascii="Times New Roman" w:eastAsia="Times New Roman" w:hAnsi="Times New Roman" w:cs="Times New Roman"/>
          <w:sz w:val="24"/>
          <w:szCs w:val="24"/>
          <w:lang w:eastAsia="ru-RU"/>
        </w:rPr>
        <w:t xml:space="preserve">В 2017 году </w:t>
      </w:r>
      <w:r w:rsidRPr="00FF466B">
        <w:rPr>
          <w:rFonts w:ascii="Times New Roman" w:eastAsia="Times New Roman" w:hAnsi="Times New Roman" w:cs="Times New Roman"/>
          <w:i/>
          <w:sz w:val="24"/>
          <w:szCs w:val="24"/>
          <w:lang w:eastAsia="ru-RU"/>
        </w:rPr>
        <w:t>капитально отремонтировано</w:t>
      </w:r>
      <w:r w:rsidRPr="00FF466B">
        <w:rPr>
          <w:rFonts w:ascii="Times New Roman" w:eastAsia="Times New Roman" w:hAnsi="Times New Roman" w:cs="Times New Roman"/>
          <w:sz w:val="24"/>
          <w:szCs w:val="24"/>
          <w:lang w:eastAsia="ru-RU"/>
        </w:rPr>
        <w:t xml:space="preserve"> 4,5 тыс. квадратных метров многоквартирных жилых домов. Общие </w:t>
      </w:r>
      <w:r w:rsidRPr="00FF466B">
        <w:rPr>
          <w:rFonts w:ascii="Times New Roman" w:eastAsia="Times New Roman" w:hAnsi="Times New Roman" w:cs="Times New Roman"/>
          <w:i/>
          <w:sz w:val="24"/>
          <w:szCs w:val="24"/>
          <w:lang w:eastAsia="ru-RU"/>
        </w:rPr>
        <w:t>затраты на капитальный ремонт многоквартирных жилых домов</w:t>
      </w:r>
      <w:r w:rsidRPr="00FF466B">
        <w:rPr>
          <w:rFonts w:ascii="Times New Roman" w:eastAsia="Times New Roman" w:hAnsi="Times New Roman" w:cs="Times New Roman"/>
          <w:sz w:val="24"/>
          <w:szCs w:val="24"/>
          <w:lang w:eastAsia="ru-RU"/>
        </w:rPr>
        <w:t xml:space="preserve"> за счет всех источников финансирования в 2017 году составили 551,6 млн. рублей.</w:t>
      </w:r>
    </w:p>
    <w:p w:rsidR="00B5633D" w:rsidRPr="005A5FD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5FDA">
        <w:rPr>
          <w:rFonts w:ascii="Times New Roman" w:eastAsia="Times New Roman" w:hAnsi="Times New Roman" w:cs="Times New Roman"/>
          <w:sz w:val="24"/>
          <w:szCs w:val="24"/>
          <w:lang w:eastAsia="ru-RU"/>
        </w:rPr>
        <w:t>Медицинскую помощь населению в 2017 году оказывали 38 врачебных больничных учреждени</w:t>
      </w:r>
      <w:r>
        <w:rPr>
          <w:rFonts w:ascii="Times New Roman" w:eastAsia="Times New Roman" w:hAnsi="Times New Roman" w:cs="Times New Roman"/>
          <w:sz w:val="24"/>
          <w:szCs w:val="24"/>
          <w:lang w:eastAsia="ru-RU"/>
        </w:rPr>
        <w:t>й</w:t>
      </w:r>
      <w:r w:rsidRPr="005A5FDA">
        <w:rPr>
          <w:rFonts w:ascii="Times New Roman" w:eastAsia="Times New Roman" w:hAnsi="Times New Roman" w:cs="Times New Roman"/>
          <w:sz w:val="24"/>
          <w:szCs w:val="24"/>
          <w:lang w:eastAsia="ru-RU"/>
        </w:rPr>
        <w:t xml:space="preserve"> на 7,6 тыс. коек (больше уровня 2016 года на 349 коек), 173 амбулаторно-поликлинических учреждения (меньше уровня 2016 года на 6 единиц) мощностью 23,1 тыс. посещений в смену и 317 фельдшерско-акушерских пунктов.</w:t>
      </w:r>
    </w:p>
    <w:p w:rsidR="00B5633D" w:rsidRPr="00B5633D" w:rsidRDefault="00B5633D" w:rsidP="00B563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466B">
        <w:rPr>
          <w:rFonts w:ascii="Times New Roman" w:eastAsia="Times New Roman" w:hAnsi="Times New Roman" w:cs="Times New Roman"/>
          <w:sz w:val="24"/>
          <w:szCs w:val="24"/>
          <w:lang w:eastAsia="ru-RU"/>
        </w:rPr>
        <w:t xml:space="preserve">На конец 2017 года в области работало 125 самостоятельных дошкольных образовательных организаций, 2 обособленных структурных подразделения (филиала) дошкольных образовательных организаций, 32 обособленных структурных подразделения (филиала) общеобразовательной организации и 133 </w:t>
      </w:r>
      <w:r w:rsidRPr="00B5633D">
        <w:rPr>
          <w:rFonts w:ascii="Times New Roman" w:eastAsia="Times New Roman" w:hAnsi="Times New Roman" w:cs="Times New Roman"/>
          <w:sz w:val="24"/>
          <w:szCs w:val="24"/>
          <w:lang w:eastAsia="ru-RU"/>
        </w:rPr>
        <w:t xml:space="preserve">подразделений (групп) дошкольного образования, организованные в общеобразовательных организациях. </w:t>
      </w:r>
      <w:r w:rsidRPr="00B5633D">
        <w:rPr>
          <w:rFonts w:ascii="Times New Roman" w:hAnsi="Times New Roman" w:cs="Times New Roman"/>
          <w:sz w:val="24"/>
          <w:szCs w:val="24"/>
        </w:rPr>
        <w:t>В 2017 году на 100 мест в дошкольных образовательных учреждениях приходилось 98 детей.</w:t>
      </w:r>
      <w:r w:rsidRPr="00B5633D">
        <w:rPr>
          <w:rFonts w:ascii="Times New Roman" w:hAnsi="Times New Roman" w:cs="Times New Roman"/>
          <w:i/>
          <w:sz w:val="24"/>
          <w:szCs w:val="24"/>
        </w:rPr>
        <w:t xml:space="preserve"> Охват детей дошкольным образованием </w:t>
      </w:r>
      <w:r w:rsidRPr="00B5633D">
        <w:rPr>
          <w:rFonts w:ascii="Times New Roman" w:hAnsi="Times New Roman" w:cs="Times New Roman"/>
          <w:sz w:val="24"/>
          <w:szCs w:val="24"/>
        </w:rPr>
        <w:t>(в процентах от численности детей соответствующего возраста) на конец 2017 года по предварительным данным составил 61,8 процента</w:t>
      </w:r>
      <w:r w:rsidRPr="00B5633D">
        <w:rPr>
          <w:rFonts w:ascii="Times New Roman" w:hAnsi="Times New Roman" w:cs="Times New Roman"/>
          <w:i/>
          <w:sz w:val="24"/>
          <w:szCs w:val="24"/>
        </w:rPr>
        <w:t>.</w:t>
      </w:r>
    </w:p>
    <w:p w:rsidR="00B5633D" w:rsidRPr="00DD3380" w:rsidRDefault="00B5633D" w:rsidP="00B5633D">
      <w:pPr>
        <w:pStyle w:val="10"/>
        <w:ind w:firstLine="709"/>
        <w:rPr>
          <w:b/>
          <w:i/>
          <w:szCs w:val="20"/>
        </w:rPr>
      </w:pPr>
      <w:r w:rsidRPr="00DD3380">
        <w:rPr>
          <w:b/>
          <w:i/>
        </w:rPr>
        <w:t>1.2. Экономическое развитие Амурской области</w:t>
      </w:r>
    </w:p>
    <w:p w:rsidR="00B5633D" w:rsidRPr="00DD3380"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D3380">
        <w:rPr>
          <w:rFonts w:ascii="Times New Roman" w:eastAsia="Times New Roman" w:hAnsi="Times New Roman" w:cs="Times New Roman"/>
          <w:sz w:val="24"/>
          <w:szCs w:val="20"/>
          <w:lang w:eastAsia="ru-RU"/>
        </w:rPr>
        <w:t>По данным Правительства Амурской области (оценка) в 2017 году валовой региональный продукт (далее - ВРП) составил 313,3  млрд. рублей (в 2016 году – 28</w:t>
      </w:r>
      <w:r>
        <w:rPr>
          <w:rFonts w:ascii="Times New Roman" w:eastAsia="Times New Roman" w:hAnsi="Times New Roman" w:cs="Times New Roman"/>
          <w:sz w:val="24"/>
          <w:szCs w:val="20"/>
          <w:lang w:eastAsia="ru-RU"/>
        </w:rPr>
        <w:t>7</w:t>
      </w:r>
      <w:r w:rsidRPr="00DD338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w:t>
      </w:r>
      <w:r w:rsidRPr="00DD3380">
        <w:rPr>
          <w:rFonts w:ascii="Times New Roman" w:eastAsia="Times New Roman" w:hAnsi="Times New Roman" w:cs="Times New Roman"/>
          <w:sz w:val="24"/>
          <w:szCs w:val="20"/>
          <w:lang w:eastAsia="ru-RU"/>
        </w:rPr>
        <w:t xml:space="preserve"> млрд. рублей).</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40959">
        <w:rPr>
          <w:rFonts w:ascii="Times New Roman" w:eastAsia="Times New Roman" w:hAnsi="Times New Roman" w:cs="Times New Roman"/>
          <w:sz w:val="24"/>
          <w:szCs w:val="20"/>
          <w:lang w:eastAsia="ru-RU"/>
        </w:rPr>
        <w:t>В соответствии с прогнозом социально-экономического развития Амурской области на 2017 год, ожидаемый ВРП на 2017 год составлял 295,5 млрд. рублей (меньше фактически сложившегося уровня на 17,8 млрд. рублей). Отклонение прогнозируемого в соответствии с распоряжениями Правительства Амурской области на соответствующий финансовый год уровня ВРП от фактически сложившегося, приведено на рисунке 5.</w:t>
      </w:r>
    </w:p>
    <w:p w:rsidR="009F6A70" w:rsidRPr="00240959" w:rsidRDefault="009F6A70"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B5633D" w:rsidRPr="00AA6522" w:rsidRDefault="00B5633D" w:rsidP="00B5633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33CB9">
        <w:rPr>
          <w:rFonts w:ascii="Times New Roman" w:eastAsia="Times New Roman" w:hAnsi="Times New Roman" w:cs="Times New Roman"/>
          <w:noProof/>
          <w:color w:val="FF0000"/>
          <w:sz w:val="24"/>
          <w:szCs w:val="20"/>
          <w:lang w:eastAsia="ru-RU"/>
        </w:rPr>
        <w:drawing>
          <wp:inline distT="0" distB="0" distL="0" distR="0" wp14:anchorId="72792527" wp14:editId="2C935117">
            <wp:extent cx="6276975" cy="2971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633D" w:rsidRPr="00240959"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240959">
        <w:rPr>
          <w:rFonts w:ascii="Times New Roman" w:eastAsia="Times New Roman" w:hAnsi="Times New Roman" w:cs="Times New Roman"/>
          <w:b/>
          <w:sz w:val="24"/>
          <w:szCs w:val="20"/>
          <w:lang w:eastAsia="ru-RU"/>
        </w:rPr>
        <w:t>Рис. 5 – Прогнозируемое и фактическое значение объема ВРП в 2014-2017 годах</w:t>
      </w:r>
    </w:p>
    <w:p w:rsidR="009F6A70" w:rsidRDefault="009F6A70"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w:t>
      </w:r>
      <w:r w:rsidRPr="00F2164B">
        <w:rPr>
          <w:rFonts w:ascii="Times New Roman" w:eastAsia="Times New Roman" w:hAnsi="Times New Roman" w:cs="Times New Roman"/>
          <w:sz w:val="24"/>
          <w:szCs w:val="20"/>
          <w:lang w:eastAsia="ru-RU"/>
        </w:rPr>
        <w:t>ка</w:t>
      </w:r>
      <w:r>
        <w:rPr>
          <w:rFonts w:ascii="Times New Roman" w:eastAsia="Times New Roman" w:hAnsi="Times New Roman" w:cs="Times New Roman"/>
          <w:sz w:val="24"/>
          <w:szCs w:val="20"/>
          <w:lang w:eastAsia="ru-RU"/>
        </w:rPr>
        <w:t>затель ВРП</w:t>
      </w:r>
      <w:r w:rsidRPr="00F2164B">
        <w:rPr>
          <w:rFonts w:ascii="Times New Roman" w:eastAsia="Times New Roman" w:hAnsi="Times New Roman" w:cs="Times New Roman"/>
          <w:sz w:val="24"/>
          <w:szCs w:val="20"/>
          <w:lang w:eastAsia="ru-RU"/>
        </w:rPr>
        <w:t>, определенн</w:t>
      </w:r>
      <w:r>
        <w:rPr>
          <w:rFonts w:ascii="Times New Roman" w:eastAsia="Times New Roman" w:hAnsi="Times New Roman" w:cs="Times New Roman"/>
          <w:sz w:val="24"/>
          <w:szCs w:val="20"/>
          <w:lang w:eastAsia="ru-RU"/>
        </w:rPr>
        <w:t xml:space="preserve">ый на 2017 год </w:t>
      </w:r>
      <w:r w:rsidRPr="00F2164B">
        <w:rPr>
          <w:rFonts w:ascii="Times New Roman" w:eastAsia="Times New Roman" w:hAnsi="Times New Roman" w:cs="Times New Roman"/>
          <w:sz w:val="24"/>
          <w:szCs w:val="20"/>
          <w:lang w:eastAsia="ru-RU"/>
        </w:rPr>
        <w:t>Программой социально-экономического развития Амурской области на 2013-2017 годы, утвержденной Законом Амурской области от 13.11.2013 № 277-ОЗ</w:t>
      </w:r>
      <w:r>
        <w:rPr>
          <w:rFonts w:ascii="Times New Roman" w:eastAsia="Times New Roman" w:hAnsi="Times New Roman" w:cs="Times New Roman"/>
          <w:sz w:val="24"/>
          <w:szCs w:val="20"/>
          <w:lang w:eastAsia="ru-RU"/>
        </w:rPr>
        <w:t xml:space="preserve"> не достигнут (запланировано значение 371,7 млрд. рублей).</w:t>
      </w:r>
    </w:p>
    <w:p w:rsidR="009F6A70" w:rsidRPr="00F2164B" w:rsidRDefault="009F6A70"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B5633D" w:rsidRPr="00E50B5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E50B54">
        <w:rPr>
          <w:rFonts w:ascii="Times New Roman" w:eastAsia="Times New Roman" w:hAnsi="Times New Roman" w:cs="Times New Roman"/>
          <w:i/>
          <w:sz w:val="24"/>
          <w:szCs w:val="20"/>
          <w:lang w:eastAsia="ru-RU"/>
        </w:rPr>
        <w:lastRenderedPageBreak/>
        <w:t>Индекс физического объема ВРП</w:t>
      </w:r>
      <w:r w:rsidRPr="00E50B54">
        <w:rPr>
          <w:rFonts w:ascii="Times New Roman" w:eastAsia="Times New Roman" w:hAnsi="Times New Roman" w:cs="Times New Roman"/>
          <w:sz w:val="24"/>
          <w:szCs w:val="20"/>
          <w:lang w:eastAsia="ru-RU"/>
        </w:rPr>
        <w:t xml:space="preserve"> по оценке за 2017 год составил 103,6 процента (в 2016 году – </w:t>
      </w:r>
      <w:r w:rsidR="00BB2FB8">
        <w:rPr>
          <w:rFonts w:ascii="Times New Roman" w:eastAsia="Times New Roman" w:hAnsi="Times New Roman" w:cs="Times New Roman"/>
          <w:sz w:val="24"/>
          <w:szCs w:val="20"/>
          <w:lang w:eastAsia="ru-RU"/>
        </w:rPr>
        <w:t>98,6</w:t>
      </w:r>
      <w:r w:rsidRPr="00E50B54">
        <w:rPr>
          <w:rFonts w:ascii="Times New Roman" w:eastAsia="Times New Roman" w:hAnsi="Times New Roman" w:cs="Times New Roman"/>
          <w:sz w:val="24"/>
          <w:szCs w:val="20"/>
          <w:lang w:eastAsia="ru-RU"/>
        </w:rPr>
        <w:t xml:space="preserve"> процента). Динамика индекса физического объема валового регионального продукта приведена на рисунке 6.</w:t>
      </w:r>
    </w:p>
    <w:p w:rsidR="00B5633D" w:rsidRPr="00AA6522" w:rsidRDefault="00B5633D" w:rsidP="00B5633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33CB9">
        <w:rPr>
          <w:rFonts w:ascii="Times New Roman" w:eastAsia="Times New Roman" w:hAnsi="Times New Roman" w:cs="Times New Roman"/>
          <w:b/>
          <w:noProof/>
          <w:color w:val="FF0000"/>
          <w:sz w:val="24"/>
          <w:szCs w:val="20"/>
          <w:lang w:eastAsia="ru-RU"/>
        </w:rPr>
        <w:drawing>
          <wp:inline distT="0" distB="0" distL="0" distR="0" wp14:anchorId="2A9AA5DD" wp14:editId="09D9E635">
            <wp:extent cx="6419850" cy="1914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633D" w:rsidRPr="00E50B54" w:rsidRDefault="00B5633D" w:rsidP="00B5633D">
      <w:pPr>
        <w:widowControl w:val="0"/>
        <w:autoSpaceDE w:val="0"/>
        <w:autoSpaceDN w:val="0"/>
        <w:adjustRightInd w:val="0"/>
        <w:spacing w:after="0"/>
        <w:jc w:val="center"/>
        <w:rPr>
          <w:rFonts w:ascii="Times New Roman" w:eastAsia="Times New Roman" w:hAnsi="Times New Roman" w:cs="Times New Roman"/>
          <w:b/>
          <w:sz w:val="24"/>
          <w:szCs w:val="20"/>
          <w:lang w:eastAsia="ru-RU"/>
        </w:rPr>
      </w:pPr>
      <w:r w:rsidRPr="00E50B54">
        <w:rPr>
          <w:rFonts w:ascii="Times New Roman" w:eastAsia="Times New Roman" w:hAnsi="Times New Roman" w:cs="Times New Roman"/>
          <w:b/>
          <w:sz w:val="24"/>
          <w:szCs w:val="20"/>
          <w:lang w:eastAsia="ru-RU"/>
        </w:rPr>
        <w:t xml:space="preserve">Рис. 6 –Динамика индекса физического объема валового регионального продукта Амурской области, процентов </w:t>
      </w:r>
    </w:p>
    <w:p w:rsidR="00B5633D" w:rsidRPr="002507E2"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507E2">
        <w:rPr>
          <w:rFonts w:ascii="Times New Roman" w:eastAsia="Times New Roman" w:hAnsi="Times New Roman" w:cs="Times New Roman"/>
          <w:sz w:val="24"/>
          <w:szCs w:val="20"/>
          <w:lang w:eastAsia="ru-RU"/>
        </w:rPr>
        <w:t xml:space="preserve">В структуре валового регионального продукта </w:t>
      </w:r>
      <w:r>
        <w:rPr>
          <w:rFonts w:ascii="Times New Roman" w:eastAsia="Times New Roman" w:hAnsi="Times New Roman" w:cs="Times New Roman"/>
          <w:sz w:val="24"/>
          <w:szCs w:val="20"/>
          <w:lang w:eastAsia="ru-RU"/>
        </w:rPr>
        <w:t>за 2016 год</w:t>
      </w:r>
      <w:r w:rsidRPr="002507E2">
        <w:rPr>
          <w:rFonts w:ascii="Times New Roman" w:eastAsia="Times New Roman" w:hAnsi="Times New Roman" w:cs="Times New Roman"/>
          <w:sz w:val="24"/>
          <w:szCs w:val="20"/>
          <w:lang w:eastAsia="ru-RU"/>
        </w:rPr>
        <w:t xml:space="preserve"> по данным Территориального органа Федеральной службы государственной статистики по Амурской области</w:t>
      </w:r>
      <w:r>
        <w:rPr>
          <w:rFonts w:ascii="Times New Roman" w:eastAsia="Times New Roman" w:hAnsi="Times New Roman" w:cs="Times New Roman"/>
          <w:sz w:val="24"/>
          <w:szCs w:val="20"/>
          <w:lang w:eastAsia="ru-RU"/>
        </w:rPr>
        <w:t xml:space="preserve"> </w:t>
      </w:r>
      <w:r w:rsidRPr="002507E2">
        <w:rPr>
          <w:rFonts w:ascii="Times New Roman" w:eastAsia="Times New Roman" w:hAnsi="Times New Roman" w:cs="Times New Roman"/>
          <w:sz w:val="24"/>
          <w:szCs w:val="20"/>
          <w:lang w:eastAsia="ru-RU"/>
        </w:rPr>
        <w:t>транспорт и связь составляют 16,</w:t>
      </w:r>
      <w:r w:rsidR="00BB2FB8">
        <w:rPr>
          <w:rFonts w:ascii="Times New Roman" w:eastAsia="Times New Roman" w:hAnsi="Times New Roman" w:cs="Times New Roman"/>
          <w:sz w:val="24"/>
          <w:szCs w:val="20"/>
          <w:lang w:eastAsia="ru-RU"/>
        </w:rPr>
        <w:t>3</w:t>
      </w:r>
      <w:r w:rsidRPr="002507E2">
        <w:rPr>
          <w:rFonts w:ascii="Times New Roman" w:eastAsia="Times New Roman" w:hAnsi="Times New Roman" w:cs="Times New Roman"/>
          <w:sz w:val="24"/>
          <w:szCs w:val="20"/>
          <w:lang w:eastAsia="ru-RU"/>
        </w:rPr>
        <w:t xml:space="preserve"> процента; добыча полезных ископаемых – </w:t>
      </w:r>
      <w:r>
        <w:rPr>
          <w:rFonts w:ascii="Times New Roman" w:eastAsia="Times New Roman" w:hAnsi="Times New Roman" w:cs="Times New Roman"/>
          <w:sz w:val="24"/>
          <w:szCs w:val="20"/>
          <w:lang w:eastAsia="ru-RU"/>
        </w:rPr>
        <w:br/>
      </w:r>
      <w:r w:rsidRPr="002507E2">
        <w:rPr>
          <w:rFonts w:ascii="Times New Roman" w:eastAsia="Times New Roman" w:hAnsi="Times New Roman" w:cs="Times New Roman"/>
          <w:sz w:val="24"/>
          <w:szCs w:val="20"/>
          <w:lang w:eastAsia="ru-RU"/>
        </w:rPr>
        <w:t>15,8 процента; строительство – 13,1 процента; оптовая и розничная торговля – 1</w:t>
      </w:r>
      <w:r w:rsidR="00BB2FB8">
        <w:rPr>
          <w:rFonts w:ascii="Times New Roman" w:eastAsia="Times New Roman" w:hAnsi="Times New Roman" w:cs="Times New Roman"/>
          <w:sz w:val="24"/>
          <w:szCs w:val="20"/>
          <w:lang w:eastAsia="ru-RU"/>
        </w:rPr>
        <w:t>1</w:t>
      </w:r>
      <w:r w:rsidRPr="002507E2">
        <w:rPr>
          <w:rFonts w:ascii="Times New Roman" w:eastAsia="Times New Roman" w:hAnsi="Times New Roman" w:cs="Times New Roman"/>
          <w:sz w:val="24"/>
          <w:szCs w:val="20"/>
          <w:lang w:eastAsia="ru-RU"/>
        </w:rPr>
        <w:t>,</w:t>
      </w:r>
      <w:r w:rsidR="00BB2FB8">
        <w:rPr>
          <w:rFonts w:ascii="Times New Roman" w:eastAsia="Times New Roman" w:hAnsi="Times New Roman" w:cs="Times New Roman"/>
          <w:sz w:val="24"/>
          <w:szCs w:val="20"/>
          <w:lang w:eastAsia="ru-RU"/>
        </w:rPr>
        <w:t>0</w:t>
      </w:r>
      <w:r w:rsidRPr="002507E2">
        <w:rPr>
          <w:rFonts w:ascii="Times New Roman" w:eastAsia="Times New Roman" w:hAnsi="Times New Roman" w:cs="Times New Roman"/>
          <w:sz w:val="24"/>
          <w:szCs w:val="20"/>
          <w:lang w:eastAsia="ru-RU"/>
        </w:rPr>
        <w:t xml:space="preserve"> процент</w:t>
      </w:r>
      <w:r w:rsidR="00BB2FB8">
        <w:rPr>
          <w:rFonts w:ascii="Times New Roman" w:eastAsia="Times New Roman" w:hAnsi="Times New Roman" w:cs="Times New Roman"/>
          <w:sz w:val="24"/>
          <w:szCs w:val="20"/>
          <w:lang w:eastAsia="ru-RU"/>
        </w:rPr>
        <w:t>ов</w:t>
      </w:r>
      <w:r w:rsidRPr="002507E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с</w:t>
      </w:r>
      <w:r w:rsidRPr="00110E3D">
        <w:rPr>
          <w:rFonts w:ascii="Times New Roman" w:eastAsia="Times New Roman" w:hAnsi="Times New Roman" w:cs="Times New Roman"/>
          <w:sz w:val="24"/>
          <w:szCs w:val="20"/>
          <w:lang w:eastAsia="ru-RU"/>
        </w:rPr>
        <w:t xml:space="preserve">ельское, лесное хозяйство, охота, рыболовство и рыбоводство </w:t>
      </w:r>
      <w:r w:rsidRPr="002507E2">
        <w:rPr>
          <w:rFonts w:ascii="Times New Roman" w:eastAsia="Times New Roman" w:hAnsi="Times New Roman" w:cs="Times New Roman"/>
          <w:sz w:val="24"/>
          <w:szCs w:val="20"/>
          <w:lang w:eastAsia="ru-RU"/>
        </w:rPr>
        <w:t xml:space="preserve">– </w:t>
      </w:r>
      <w:r w:rsidR="00BB2FB8">
        <w:rPr>
          <w:rFonts w:ascii="Times New Roman" w:eastAsia="Times New Roman" w:hAnsi="Times New Roman" w:cs="Times New Roman"/>
          <w:sz w:val="24"/>
          <w:szCs w:val="20"/>
          <w:lang w:eastAsia="ru-RU"/>
        </w:rPr>
        <w:t>8</w:t>
      </w:r>
      <w:r w:rsidRPr="002507E2">
        <w:rPr>
          <w:rFonts w:ascii="Times New Roman" w:eastAsia="Times New Roman" w:hAnsi="Times New Roman" w:cs="Times New Roman"/>
          <w:sz w:val="24"/>
          <w:szCs w:val="20"/>
          <w:lang w:eastAsia="ru-RU"/>
        </w:rPr>
        <w:t>,</w:t>
      </w:r>
      <w:r w:rsidR="00BB2FB8">
        <w:rPr>
          <w:rFonts w:ascii="Times New Roman" w:eastAsia="Times New Roman" w:hAnsi="Times New Roman" w:cs="Times New Roman"/>
          <w:sz w:val="24"/>
          <w:szCs w:val="20"/>
          <w:lang w:eastAsia="ru-RU"/>
        </w:rPr>
        <w:t>0</w:t>
      </w:r>
      <w:r w:rsidRPr="002507E2">
        <w:rPr>
          <w:rFonts w:ascii="Times New Roman" w:eastAsia="Times New Roman" w:hAnsi="Times New Roman" w:cs="Times New Roman"/>
          <w:sz w:val="24"/>
          <w:szCs w:val="20"/>
          <w:lang w:eastAsia="ru-RU"/>
        </w:rPr>
        <w:t xml:space="preserve"> процент</w:t>
      </w:r>
      <w:r w:rsidR="00BB2FB8">
        <w:rPr>
          <w:rFonts w:ascii="Times New Roman" w:eastAsia="Times New Roman" w:hAnsi="Times New Roman" w:cs="Times New Roman"/>
          <w:sz w:val="24"/>
          <w:szCs w:val="20"/>
          <w:lang w:eastAsia="ru-RU"/>
        </w:rPr>
        <w:t>ов</w:t>
      </w:r>
      <w:r w:rsidRPr="002507E2">
        <w:rPr>
          <w:rFonts w:ascii="Times New Roman" w:eastAsia="Times New Roman" w:hAnsi="Times New Roman" w:cs="Times New Roman"/>
          <w:sz w:val="24"/>
          <w:szCs w:val="20"/>
          <w:lang w:eastAsia="ru-RU"/>
        </w:rPr>
        <w:t>; государственное управление и обеспечение военной безопасности, обязательное социальное обеспечение – 7,7 процента; производство и распределение электроэнергии, газа и воды –</w:t>
      </w:r>
      <w:r>
        <w:rPr>
          <w:rFonts w:ascii="Times New Roman" w:eastAsia="Times New Roman" w:hAnsi="Times New Roman" w:cs="Times New Roman"/>
          <w:sz w:val="24"/>
          <w:szCs w:val="20"/>
          <w:lang w:eastAsia="ru-RU"/>
        </w:rPr>
        <w:br/>
      </w:r>
      <w:r w:rsidRPr="002507E2">
        <w:rPr>
          <w:rFonts w:ascii="Times New Roman" w:eastAsia="Times New Roman" w:hAnsi="Times New Roman" w:cs="Times New Roman"/>
          <w:sz w:val="24"/>
          <w:szCs w:val="20"/>
          <w:lang w:eastAsia="ru-RU"/>
        </w:rPr>
        <w:t>7,3 процента; прочие – 2</w:t>
      </w:r>
      <w:r w:rsidR="00BB2FB8">
        <w:rPr>
          <w:rFonts w:ascii="Times New Roman" w:eastAsia="Times New Roman" w:hAnsi="Times New Roman" w:cs="Times New Roman"/>
          <w:sz w:val="24"/>
          <w:szCs w:val="20"/>
          <w:lang w:eastAsia="ru-RU"/>
        </w:rPr>
        <w:t>0</w:t>
      </w:r>
      <w:r w:rsidRPr="002507E2">
        <w:rPr>
          <w:rFonts w:ascii="Times New Roman" w:eastAsia="Times New Roman" w:hAnsi="Times New Roman" w:cs="Times New Roman"/>
          <w:sz w:val="24"/>
          <w:szCs w:val="20"/>
          <w:lang w:eastAsia="ru-RU"/>
        </w:rPr>
        <w:t>,</w:t>
      </w:r>
      <w:r w:rsidR="00BB2FB8">
        <w:rPr>
          <w:rFonts w:ascii="Times New Roman" w:eastAsia="Times New Roman" w:hAnsi="Times New Roman" w:cs="Times New Roman"/>
          <w:sz w:val="24"/>
          <w:szCs w:val="20"/>
          <w:lang w:eastAsia="ru-RU"/>
        </w:rPr>
        <w:t>8 процента.</w:t>
      </w:r>
    </w:p>
    <w:p w:rsidR="00B5633D" w:rsidRPr="00F01A6B"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F01A6B">
        <w:rPr>
          <w:rFonts w:ascii="Times New Roman" w:eastAsia="Times New Roman" w:hAnsi="Times New Roman" w:cs="Times New Roman"/>
          <w:sz w:val="24"/>
          <w:szCs w:val="20"/>
          <w:u w:val="single"/>
          <w:lang w:eastAsia="ru-RU"/>
        </w:rPr>
        <w:t>1.2.1. Промышленность Амурской области.</w:t>
      </w:r>
    </w:p>
    <w:p w:rsidR="00B5633D" w:rsidRPr="00347D88"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D88">
        <w:rPr>
          <w:rFonts w:ascii="Times New Roman" w:eastAsia="Times New Roman" w:hAnsi="Times New Roman" w:cs="Times New Roman"/>
          <w:sz w:val="24"/>
          <w:szCs w:val="24"/>
          <w:lang w:eastAsia="ru-RU"/>
        </w:rPr>
        <w:t xml:space="preserve">В 2017 году на территории Амурской области действовало 1506 организаций промышленного производства из них 675 – организации обрабатывающих производств </w:t>
      </w:r>
      <w:r w:rsidRPr="00347D88">
        <w:rPr>
          <w:rFonts w:ascii="Times New Roman" w:eastAsia="Times New Roman" w:hAnsi="Times New Roman" w:cs="Times New Roman"/>
          <w:sz w:val="24"/>
          <w:szCs w:val="24"/>
          <w:lang w:eastAsia="ru-RU"/>
        </w:rPr>
        <w:br/>
        <w:t>(44,8 процента от количества организаций промышленного производства).</w:t>
      </w:r>
    </w:p>
    <w:p w:rsidR="00B5633D" w:rsidRPr="0003278B"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7D88">
        <w:rPr>
          <w:rFonts w:ascii="Times New Roman" w:eastAsia="Times New Roman" w:hAnsi="Times New Roman" w:cs="Times New Roman"/>
          <w:sz w:val="24"/>
          <w:szCs w:val="24"/>
          <w:lang w:eastAsia="ru-RU"/>
        </w:rPr>
        <w:t xml:space="preserve">В 2017 году </w:t>
      </w:r>
      <w:r w:rsidRPr="00347D88">
        <w:rPr>
          <w:rFonts w:ascii="Times New Roman" w:eastAsia="Times New Roman" w:hAnsi="Times New Roman" w:cs="Times New Roman"/>
          <w:i/>
          <w:sz w:val="24"/>
          <w:szCs w:val="24"/>
          <w:lang w:eastAsia="ru-RU"/>
        </w:rPr>
        <w:t xml:space="preserve">объем отгруженной продукции промышленного производства </w:t>
      </w:r>
      <w:r w:rsidRPr="00347D88">
        <w:rPr>
          <w:rFonts w:ascii="Times New Roman" w:eastAsia="Times New Roman" w:hAnsi="Times New Roman" w:cs="Times New Roman"/>
          <w:sz w:val="24"/>
          <w:szCs w:val="24"/>
          <w:lang w:eastAsia="ru-RU"/>
        </w:rPr>
        <w:t xml:space="preserve">составил </w:t>
      </w:r>
      <w:r w:rsidRPr="000F7C56">
        <w:rPr>
          <w:rFonts w:ascii="Times New Roman" w:eastAsia="Times New Roman" w:hAnsi="Times New Roman" w:cs="Times New Roman"/>
          <w:sz w:val="24"/>
          <w:szCs w:val="24"/>
          <w:lang w:eastAsia="ru-RU"/>
        </w:rPr>
        <w:t>122,3 млрд. рублей, в том числе по видам экономической деятельности: доб</w:t>
      </w:r>
      <w:r w:rsidRPr="00F01A6B">
        <w:rPr>
          <w:rFonts w:ascii="Times New Roman" w:eastAsia="Times New Roman" w:hAnsi="Times New Roman" w:cs="Times New Roman"/>
          <w:sz w:val="24"/>
          <w:szCs w:val="24"/>
          <w:lang w:eastAsia="ru-RU"/>
        </w:rPr>
        <w:t>ыча полезных ископаемых – 65,4 млрд. рублей</w:t>
      </w:r>
      <w:r>
        <w:rPr>
          <w:rFonts w:ascii="Times New Roman" w:eastAsia="Times New Roman" w:hAnsi="Times New Roman" w:cs="Times New Roman"/>
          <w:sz w:val="24"/>
          <w:szCs w:val="24"/>
          <w:lang w:eastAsia="ru-RU"/>
        </w:rPr>
        <w:t xml:space="preserve"> (53,5 процента от всего объема отгруженной продукции);</w:t>
      </w:r>
      <w:r w:rsidRPr="00F01A6B">
        <w:rPr>
          <w:rFonts w:ascii="Times New Roman" w:eastAsia="Times New Roman" w:hAnsi="Times New Roman" w:cs="Times New Roman"/>
          <w:sz w:val="24"/>
          <w:szCs w:val="24"/>
          <w:lang w:eastAsia="ru-RU"/>
        </w:rPr>
        <w:t xml:space="preserve"> обрабатывающие производства – 23,5 млрд. рублей</w:t>
      </w:r>
      <w:r>
        <w:rPr>
          <w:rFonts w:ascii="Times New Roman" w:eastAsia="Times New Roman" w:hAnsi="Times New Roman" w:cs="Times New Roman"/>
          <w:sz w:val="24"/>
          <w:szCs w:val="24"/>
          <w:lang w:eastAsia="ru-RU"/>
        </w:rPr>
        <w:t>;</w:t>
      </w:r>
      <w:r w:rsidRPr="00F01A6B">
        <w:rPr>
          <w:rFonts w:ascii="Times New Roman" w:eastAsia="Times New Roman" w:hAnsi="Times New Roman" w:cs="Times New Roman"/>
          <w:sz w:val="24"/>
          <w:szCs w:val="24"/>
          <w:lang w:eastAsia="ru-RU"/>
        </w:rPr>
        <w:t xml:space="preserve"> обеспечение электрической энергией, газом, паром; кондиционирование воздуха –</w:t>
      </w:r>
      <w:r>
        <w:rPr>
          <w:rFonts w:ascii="Times New Roman" w:eastAsia="Times New Roman" w:hAnsi="Times New Roman" w:cs="Times New Roman"/>
          <w:sz w:val="24"/>
          <w:szCs w:val="24"/>
          <w:lang w:eastAsia="ru-RU"/>
        </w:rPr>
        <w:t xml:space="preserve"> </w:t>
      </w:r>
      <w:r w:rsidRPr="00F01A6B">
        <w:rPr>
          <w:rFonts w:ascii="Times New Roman" w:eastAsia="Times New Roman" w:hAnsi="Times New Roman" w:cs="Times New Roman"/>
          <w:sz w:val="24"/>
          <w:szCs w:val="24"/>
          <w:lang w:eastAsia="ru-RU"/>
        </w:rPr>
        <w:t>30,7 млрд. рублей</w:t>
      </w:r>
      <w:r>
        <w:rPr>
          <w:rFonts w:ascii="Times New Roman" w:eastAsia="Times New Roman" w:hAnsi="Times New Roman" w:cs="Times New Roman"/>
          <w:sz w:val="24"/>
          <w:szCs w:val="24"/>
          <w:lang w:eastAsia="ru-RU"/>
        </w:rPr>
        <w:t xml:space="preserve"> (25,1 процента </w:t>
      </w:r>
      <w:r w:rsidRPr="00347D88">
        <w:rPr>
          <w:rFonts w:ascii="Times New Roman" w:eastAsia="Times New Roman" w:hAnsi="Times New Roman" w:cs="Times New Roman"/>
          <w:sz w:val="24"/>
          <w:szCs w:val="24"/>
          <w:lang w:eastAsia="ru-RU"/>
        </w:rPr>
        <w:t>от всего объема отгруженной продукции)</w:t>
      </w:r>
      <w:r w:rsidRPr="00F01A6B">
        <w:rPr>
          <w:rFonts w:ascii="Times New Roman" w:eastAsia="Times New Roman" w:hAnsi="Times New Roman" w:cs="Times New Roman"/>
          <w:sz w:val="24"/>
          <w:szCs w:val="24"/>
          <w:lang w:eastAsia="ru-RU"/>
        </w:rPr>
        <w:t>; водоснабжение, водоотведение, организация сбора и утилизации отходов, деятельность по ликвидации загрязнений – 2,7 млрд. рублей.</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F0C3E">
        <w:rPr>
          <w:rFonts w:ascii="Times New Roman" w:eastAsia="Times New Roman" w:hAnsi="Times New Roman" w:cs="Times New Roman"/>
          <w:i/>
          <w:sz w:val="24"/>
          <w:szCs w:val="20"/>
          <w:lang w:eastAsia="ru-RU"/>
        </w:rPr>
        <w:t>Индекс промышленного производства</w:t>
      </w:r>
      <w:r w:rsidRPr="005F0C3E">
        <w:rPr>
          <w:rFonts w:ascii="Times New Roman" w:eastAsia="Times New Roman" w:hAnsi="Times New Roman" w:cs="Times New Roman"/>
          <w:sz w:val="24"/>
          <w:szCs w:val="20"/>
          <w:lang w:eastAsia="ru-RU"/>
        </w:rPr>
        <w:t xml:space="preserve"> за 2017 год по отношению к 2016 году по данным Территориального </w:t>
      </w:r>
      <w:r w:rsidRPr="005F0C3E">
        <w:rPr>
          <w:rFonts w:ascii="Times New Roman" w:eastAsia="Times New Roman" w:hAnsi="Times New Roman" w:cs="Times New Roman"/>
          <w:sz w:val="24"/>
          <w:szCs w:val="24"/>
          <w:lang w:eastAsia="ru-RU"/>
        </w:rPr>
        <w:t>органа Федеральной службы государственной статистики по Амурской области</w:t>
      </w:r>
      <w:r w:rsidRPr="005F0C3E">
        <w:rPr>
          <w:rFonts w:ascii="Times New Roman" w:eastAsia="Times New Roman" w:hAnsi="Times New Roman" w:cs="Times New Roman"/>
          <w:sz w:val="24"/>
          <w:szCs w:val="20"/>
          <w:lang w:eastAsia="ru-RU"/>
        </w:rPr>
        <w:t xml:space="preserve"> составил 101,9 процента </w:t>
      </w:r>
      <w:r w:rsidR="0003278B">
        <w:rPr>
          <w:rFonts w:ascii="Times New Roman" w:eastAsia="Times New Roman" w:hAnsi="Times New Roman" w:cs="Times New Roman"/>
          <w:sz w:val="24"/>
          <w:szCs w:val="20"/>
          <w:lang w:eastAsia="ru-RU"/>
        </w:rPr>
        <w:t>(справочно:</w:t>
      </w:r>
      <w:r w:rsidRPr="005F0C3E">
        <w:rPr>
          <w:rFonts w:ascii="Times New Roman" w:eastAsia="Times New Roman" w:hAnsi="Times New Roman" w:cs="Times New Roman"/>
          <w:sz w:val="24"/>
          <w:szCs w:val="20"/>
          <w:lang w:eastAsia="ru-RU"/>
        </w:rPr>
        <w:t xml:space="preserve"> в целом по России 101,0 процент). Согласно данным Федеральной службы государственной статистики по </w:t>
      </w:r>
      <w:r>
        <w:rPr>
          <w:rFonts w:ascii="Times New Roman" w:eastAsia="Times New Roman" w:hAnsi="Times New Roman" w:cs="Times New Roman"/>
          <w:sz w:val="24"/>
          <w:szCs w:val="20"/>
          <w:lang w:eastAsia="ru-RU"/>
        </w:rPr>
        <w:t>это</w:t>
      </w:r>
      <w:r w:rsidRPr="005F0C3E">
        <w:rPr>
          <w:rFonts w:ascii="Times New Roman" w:eastAsia="Times New Roman" w:hAnsi="Times New Roman" w:cs="Times New Roman"/>
          <w:sz w:val="24"/>
          <w:szCs w:val="20"/>
          <w:lang w:eastAsia="ru-RU"/>
        </w:rPr>
        <w:t>му показателю в 2017 году Амурская область занимала 7 место среди субъектов Дальневосточного Федеральног</w:t>
      </w:r>
      <w:r w:rsidR="0003278B">
        <w:rPr>
          <w:rFonts w:ascii="Times New Roman" w:eastAsia="Times New Roman" w:hAnsi="Times New Roman" w:cs="Times New Roman"/>
          <w:sz w:val="24"/>
          <w:szCs w:val="20"/>
          <w:lang w:eastAsia="ru-RU"/>
        </w:rPr>
        <w:t>о округа.</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 видам экономической деятельности прирост промышленного производства обеспечен только в добыче полезных ископаемых (индекс промышленного производства в 2017 году относительно 2016 года составил 113,3 процента).</w:t>
      </w:r>
      <w:r w:rsidRPr="00B90FED">
        <w:t xml:space="preserve"> </w:t>
      </w:r>
      <w:r w:rsidRPr="00B90FED">
        <w:rPr>
          <w:rFonts w:ascii="Times New Roman" w:eastAsia="Times New Roman" w:hAnsi="Times New Roman" w:cs="Times New Roman"/>
          <w:sz w:val="24"/>
          <w:szCs w:val="20"/>
          <w:lang w:eastAsia="ru-RU"/>
        </w:rPr>
        <w:t>В</w:t>
      </w:r>
      <w:r>
        <w:rPr>
          <w:rFonts w:ascii="Times New Roman" w:eastAsia="Times New Roman" w:hAnsi="Times New Roman" w:cs="Times New Roman"/>
          <w:sz w:val="24"/>
          <w:szCs w:val="20"/>
          <w:lang w:eastAsia="ru-RU"/>
        </w:rPr>
        <w:t xml:space="preserve"> январе-декабре 2017 года</w:t>
      </w:r>
      <w:r w:rsidRPr="00B90FED">
        <w:rPr>
          <w:rFonts w:ascii="Times New Roman" w:eastAsia="Times New Roman" w:hAnsi="Times New Roman" w:cs="Times New Roman"/>
          <w:sz w:val="24"/>
          <w:szCs w:val="20"/>
          <w:lang w:eastAsia="ru-RU"/>
        </w:rPr>
        <w:t xml:space="preserve"> относительно </w:t>
      </w:r>
      <w:r>
        <w:rPr>
          <w:rFonts w:ascii="Times New Roman" w:eastAsia="Times New Roman" w:hAnsi="Times New Roman" w:cs="Times New Roman"/>
          <w:sz w:val="24"/>
          <w:szCs w:val="20"/>
          <w:lang w:eastAsia="ru-RU"/>
        </w:rPr>
        <w:t xml:space="preserve">января-декабря </w:t>
      </w:r>
      <w:r w:rsidRPr="00B90FED">
        <w:rPr>
          <w:rFonts w:ascii="Times New Roman" w:eastAsia="Times New Roman" w:hAnsi="Times New Roman" w:cs="Times New Roman"/>
          <w:sz w:val="24"/>
          <w:szCs w:val="20"/>
          <w:lang w:eastAsia="ru-RU"/>
        </w:rPr>
        <w:t>2016 года увеличилась добыча угля на 1,4</w:t>
      </w:r>
      <w:r>
        <w:rPr>
          <w:rFonts w:ascii="Times New Roman" w:eastAsia="Times New Roman" w:hAnsi="Times New Roman" w:cs="Times New Roman"/>
          <w:sz w:val="24"/>
          <w:szCs w:val="20"/>
          <w:lang w:eastAsia="ru-RU"/>
        </w:rPr>
        <w:t xml:space="preserve"> процента</w:t>
      </w:r>
      <w:r w:rsidRPr="00B90FED">
        <w:rPr>
          <w:rFonts w:ascii="Times New Roman" w:eastAsia="Times New Roman" w:hAnsi="Times New Roman" w:cs="Times New Roman"/>
          <w:sz w:val="24"/>
          <w:szCs w:val="20"/>
          <w:lang w:eastAsia="ru-RU"/>
        </w:rPr>
        <w:t>, золота – на 15,5</w:t>
      </w:r>
      <w:r>
        <w:rPr>
          <w:rFonts w:ascii="Times New Roman" w:eastAsia="Times New Roman" w:hAnsi="Times New Roman" w:cs="Times New Roman"/>
          <w:sz w:val="24"/>
          <w:szCs w:val="20"/>
          <w:lang w:eastAsia="ru-RU"/>
        </w:rPr>
        <w:t xml:space="preserve"> процента</w:t>
      </w:r>
      <w:r w:rsidRPr="00B90FED">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По остальным видам деятельности, относящимся к промышленным производствам, в 2017 году наблюдалось снижение относительно 2016 года. Так по виду деятельности «обрабатывающие производства» индекс промышленного производства в 2017 году относительно 2016 года составил 85,4 процента, по виду деятельности «</w:t>
      </w:r>
      <w:r w:rsidRPr="005F0C3E">
        <w:rPr>
          <w:rFonts w:ascii="Times New Roman" w:eastAsia="Times New Roman" w:hAnsi="Times New Roman" w:cs="Times New Roman"/>
          <w:sz w:val="24"/>
          <w:szCs w:val="20"/>
          <w:lang w:eastAsia="ru-RU"/>
        </w:rPr>
        <w:t>Обеспечение электрической энергией, газом и паром; кондиционирование воздуха</w:t>
      </w:r>
      <w:r>
        <w:rPr>
          <w:rFonts w:ascii="Times New Roman" w:eastAsia="Times New Roman" w:hAnsi="Times New Roman" w:cs="Times New Roman"/>
          <w:sz w:val="24"/>
          <w:szCs w:val="20"/>
          <w:lang w:eastAsia="ru-RU"/>
        </w:rPr>
        <w:t>» - 96,4 процента, «</w:t>
      </w:r>
      <w:r w:rsidRPr="005F0C3E">
        <w:rPr>
          <w:rFonts w:ascii="Times New Roman" w:eastAsia="Times New Roman" w:hAnsi="Times New Roman" w:cs="Times New Roman"/>
          <w:sz w:val="24"/>
          <w:szCs w:val="20"/>
          <w:lang w:eastAsia="ru-RU"/>
        </w:rPr>
        <w:t>Водоснабжение; водоотведение, организация сбора и утилизации</w:t>
      </w:r>
      <w:r>
        <w:rPr>
          <w:rFonts w:ascii="Times New Roman" w:eastAsia="Times New Roman" w:hAnsi="Times New Roman" w:cs="Times New Roman"/>
          <w:sz w:val="24"/>
          <w:szCs w:val="20"/>
          <w:lang w:eastAsia="ru-RU"/>
        </w:rPr>
        <w:t xml:space="preserve"> </w:t>
      </w:r>
      <w:r w:rsidRPr="005F0C3E">
        <w:rPr>
          <w:rFonts w:ascii="Times New Roman" w:eastAsia="Times New Roman" w:hAnsi="Times New Roman" w:cs="Times New Roman"/>
          <w:sz w:val="24"/>
          <w:szCs w:val="20"/>
          <w:lang w:eastAsia="ru-RU"/>
        </w:rPr>
        <w:t>отходов, деятельность по ликвидации загрязнений</w:t>
      </w:r>
      <w:r>
        <w:rPr>
          <w:rFonts w:ascii="Times New Roman" w:eastAsia="Times New Roman" w:hAnsi="Times New Roman" w:cs="Times New Roman"/>
          <w:sz w:val="24"/>
          <w:szCs w:val="20"/>
          <w:lang w:eastAsia="ru-RU"/>
        </w:rPr>
        <w:t>» - 99,0 процентов.</w:t>
      </w:r>
    </w:p>
    <w:p w:rsidR="009F6A70" w:rsidRDefault="009F6A70"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D3D95">
        <w:rPr>
          <w:rFonts w:ascii="Times New Roman" w:eastAsia="Times New Roman" w:hAnsi="Times New Roman" w:cs="Times New Roman"/>
          <w:sz w:val="24"/>
          <w:szCs w:val="20"/>
          <w:lang w:eastAsia="ru-RU"/>
        </w:rPr>
        <w:lastRenderedPageBreak/>
        <w:t>В 2017 году произошло снижение практически по всем видам деятельности, относящимся к обрабатывающим производствам, за исключением обработки древесины и производства изделий из дерева (индекс промышленного производства в 2017 году относительно 2016 года составил 131,1 процента).</w:t>
      </w:r>
    </w:p>
    <w:p w:rsidR="00B5633D" w:rsidRPr="005D3D95"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Индекс промышленного производства по виду деятельности «П</w:t>
      </w:r>
      <w:r w:rsidRPr="005D3D95">
        <w:rPr>
          <w:rFonts w:ascii="Times New Roman" w:eastAsia="Times New Roman" w:hAnsi="Times New Roman" w:cs="Times New Roman"/>
          <w:sz w:val="24"/>
          <w:szCs w:val="20"/>
          <w:lang w:eastAsia="ru-RU"/>
        </w:rPr>
        <w:t>роизводство пищевых продуктов</w:t>
      </w:r>
      <w:r>
        <w:rPr>
          <w:rFonts w:ascii="Times New Roman" w:eastAsia="Times New Roman" w:hAnsi="Times New Roman" w:cs="Times New Roman"/>
          <w:sz w:val="24"/>
          <w:szCs w:val="20"/>
          <w:lang w:eastAsia="ru-RU"/>
        </w:rPr>
        <w:t xml:space="preserve">», занимающему 74,6 процента в структуре обрабатывающих производств, </w:t>
      </w:r>
      <w:r w:rsidR="009F6A70">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в 2017 году относительно 2016 года составил 103,3 процента.</w:t>
      </w:r>
      <w:r w:rsidRPr="00BF36DA">
        <w:t xml:space="preserve"> </w:t>
      </w:r>
      <w:r w:rsidRPr="00697044">
        <w:rPr>
          <w:rFonts w:ascii="Times New Roman" w:eastAsia="Times New Roman" w:hAnsi="Times New Roman" w:cs="Times New Roman"/>
          <w:sz w:val="24"/>
          <w:szCs w:val="20"/>
          <w:lang w:eastAsia="ru-RU"/>
        </w:rPr>
        <w:t xml:space="preserve">Увеличение доли производства пищевых продуктов в структуре обрабатывающих производств (с 64,7 процента в 2016 году) </w:t>
      </w:r>
      <w:r>
        <w:rPr>
          <w:rFonts w:ascii="Times New Roman" w:eastAsia="Times New Roman" w:hAnsi="Times New Roman" w:cs="Times New Roman"/>
          <w:sz w:val="24"/>
          <w:szCs w:val="20"/>
          <w:lang w:eastAsia="ru-RU"/>
        </w:rPr>
        <w:t>произошло за счет</w:t>
      </w:r>
      <w:r w:rsidRPr="00BF36DA">
        <w:rPr>
          <w:rFonts w:ascii="Times New Roman" w:eastAsia="Times New Roman" w:hAnsi="Times New Roman" w:cs="Times New Roman"/>
          <w:sz w:val="24"/>
          <w:szCs w:val="20"/>
          <w:lang w:eastAsia="ru-RU"/>
        </w:rPr>
        <w:t xml:space="preserve"> снижени</w:t>
      </w:r>
      <w:r>
        <w:rPr>
          <w:rFonts w:ascii="Times New Roman" w:eastAsia="Times New Roman" w:hAnsi="Times New Roman" w:cs="Times New Roman"/>
          <w:sz w:val="24"/>
          <w:szCs w:val="20"/>
          <w:lang w:eastAsia="ru-RU"/>
        </w:rPr>
        <w:t>я</w:t>
      </w:r>
      <w:r w:rsidRPr="00BF36DA">
        <w:rPr>
          <w:rFonts w:ascii="Times New Roman" w:eastAsia="Times New Roman" w:hAnsi="Times New Roman" w:cs="Times New Roman"/>
          <w:sz w:val="24"/>
          <w:szCs w:val="20"/>
          <w:lang w:eastAsia="ru-RU"/>
        </w:rPr>
        <w:t xml:space="preserve"> выпуска других видов продукции. Из основных видов промышленной продукции больше произведено только кислорода, стали нелегированной в слитках или в прочих первичных формах, пиломатериалов хвойных пород, лесоматериалов необработанных, мебели.</w:t>
      </w:r>
    </w:p>
    <w:p w:rsidR="00B5633D" w:rsidRPr="005F0C3E"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BF36DA">
        <w:rPr>
          <w:rFonts w:ascii="Times New Roman" w:eastAsia="Times New Roman" w:hAnsi="Times New Roman" w:cs="Times New Roman"/>
          <w:sz w:val="24"/>
          <w:szCs w:val="20"/>
          <w:lang w:eastAsia="ru-RU"/>
        </w:rPr>
        <w:t xml:space="preserve">Выработка электрической энергии за 2017 год составила 14,3 млрд. кВт.ч </w:t>
      </w:r>
      <w:r>
        <w:rPr>
          <w:rFonts w:ascii="Times New Roman" w:eastAsia="Times New Roman" w:hAnsi="Times New Roman" w:cs="Times New Roman"/>
          <w:sz w:val="24"/>
          <w:szCs w:val="20"/>
          <w:lang w:eastAsia="ru-RU"/>
        </w:rPr>
        <w:br/>
      </w:r>
      <w:r w:rsidRPr="00BF36DA">
        <w:rPr>
          <w:rFonts w:ascii="Times New Roman" w:eastAsia="Times New Roman" w:hAnsi="Times New Roman" w:cs="Times New Roman"/>
          <w:sz w:val="24"/>
          <w:szCs w:val="20"/>
          <w:lang w:eastAsia="ru-RU"/>
        </w:rPr>
        <w:t>(92,3 процента в 2017 году к уровню 2016 года).</w:t>
      </w:r>
    </w:p>
    <w:p w:rsidR="00B5633D" w:rsidRPr="005D3D95"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D3D95">
        <w:rPr>
          <w:rFonts w:ascii="Times New Roman" w:eastAsia="Times New Roman" w:hAnsi="Times New Roman" w:cs="Times New Roman"/>
          <w:sz w:val="24"/>
          <w:szCs w:val="20"/>
          <w:lang w:eastAsia="ru-RU"/>
        </w:rPr>
        <w:t xml:space="preserve">Программой социально-экономического развития Амурской области на </w:t>
      </w:r>
      <w:r w:rsidR="009F6A70">
        <w:rPr>
          <w:rFonts w:ascii="Times New Roman" w:eastAsia="Times New Roman" w:hAnsi="Times New Roman" w:cs="Times New Roman"/>
          <w:sz w:val="24"/>
          <w:szCs w:val="20"/>
          <w:lang w:eastAsia="ru-RU"/>
        </w:rPr>
        <w:br/>
      </w:r>
      <w:r w:rsidRPr="005D3D95">
        <w:rPr>
          <w:rFonts w:ascii="Times New Roman" w:eastAsia="Times New Roman" w:hAnsi="Times New Roman" w:cs="Times New Roman"/>
          <w:sz w:val="24"/>
          <w:szCs w:val="20"/>
          <w:lang w:eastAsia="ru-RU"/>
        </w:rPr>
        <w:t xml:space="preserve">2013-2017 годы, утвержденной Законом Амурской области от 13.11.2013 № 277-ОЗ, на </w:t>
      </w:r>
      <w:r w:rsidR="009F6A70">
        <w:rPr>
          <w:rFonts w:ascii="Times New Roman" w:eastAsia="Times New Roman" w:hAnsi="Times New Roman" w:cs="Times New Roman"/>
          <w:sz w:val="24"/>
          <w:szCs w:val="20"/>
          <w:lang w:eastAsia="ru-RU"/>
        </w:rPr>
        <w:br/>
      </w:r>
      <w:r w:rsidRPr="005D3D95">
        <w:rPr>
          <w:rFonts w:ascii="Times New Roman" w:eastAsia="Times New Roman" w:hAnsi="Times New Roman" w:cs="Times New Roman"/>
          <w:sz w:val="24"/>
          <w:szCs w:val="20"/>
          <w:lang w:eastAsia="ru-RU"/>
        </w:rPr>
        <w:t>2017 год предусмотрен прирост индекса промышленного производства на 6,1 процента относительно 2016 года. В номинальном выражении объем промышленного производства</w:t>
      </w:r>
      <w:r>
        <w:rPr>
          <w:rFonts w:ascii="Times New Roman" w:eastAsia="Times New Roman" w:hAnsi="Times New Roman" w:cs="Times New Roman"/>
          <w:sz w:val="24"/>
          <w:szCs w:val="20"/>
          <w:lang w:eastAsia="ru-RU"/>
        </w:rPr>
        <w:t>,</w:t>
      </w:r>
      <w:r w:rsidRPr="005D3D95">
        <w:rPr>
          <w:rFonts w:ascii="Times New Roman" w:eastAsia="Times New Roman" w:hAnsi="Times New Roman" w:cs="Times New Roman"/>
          <w:sz w:val="24"/>
          <w:szCs w:val="20"/>
          <w:lang w:eastAsia="ru-RU"/>
        </w:rPr>
        <w:t xml:space="preserve"> согласно программе</w:t>
      </w:r>
      <w:r>
        <w:rPr>
          <w:rFonts w:ascii="Times New Roman" w:eastAsia="Times New Roman" w:hAnsi="Times New Roman" w:cs="Times New Roman"/>
          <w:sz w:val="24"/>
          <w:szCs w:val="20"/>
          <w:lang w:eastAsia="ru-RU"/>
        </w:rPr>
        <w:t>,</w:t>
      </w:r>
      <w:r w:rsidRPr="005D3D95">
        <w:rPr>
          <w:rFonts w:ascii="Times New Roman" w:eastAsia="Times New Roman" w:hAnsi="Times New Roman" w:cs="Times New Roman"/>
          <w:sz w:val="24"/>
          <w:szCs w:val="20"/>
          <w:lang w:eastAsia="ru-RU"/>
        </w:rPr>
        <w:t xml:space="preserve"> в 2017 году должен составлять 159,8 млрд. рублей. Таким образом, запланированные указанной программой показатели развития промышленного производства в 2017 году не достигнуты.</w:t>
      </w:r>
    </w:p>
    <w:p w:rsidR="00B5633D" w:rsidRPr="00BF36D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BF36DA">
        <w:rPr>
          <w:rFonts w:ascii="Times New Roman" w:eastAsia="Times New Roman" w:hAnsi="Times New Roman" w:cs="Times New Roman"/>
          <w:sz w:val="24"/>
          <w:szCs w:val="24"/>
          <w:u w:val="single"/>
          <w:lang w:eastAsia="ru-RU"/>
        </w:rPr>
        <w:t>1.2.2. Сель</w:t>
      </w:r>
      <w:r w:rsidR="00AA6522">
        <w:rPr>
          <w:rFonts w:ascii="Times New Roman" w:eastAsia="Times New Roman" w:hAnsi="Times New Roman" w:cs="Times New Roman"/>
          <w:sz w:val="24"/>
          <w:szCs w:val="24"/>
          <w:u w:val="single"/>
          <w:lang w:eastAsia="ru-RU"/>
        </w:rPr>
        <w:t>ское хозяйство Амурской области</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044">
        <w:rPr>
          <w:rFonts w:ascii="Times New Roman" w:eastAsia="Times New Roman" w:hAnsi="Times New Roman" w:cs="Times New Roman"/>
          <w:sz w:val="24"/>
          <w:szCs w:val="24"/>
          <w:lang w:eastAsia="ru-RU"/>
        </w:rPr>
        <w:t>По оценке Территориального органа Федеральной службы государственной статистики по Амурской области</w:t>
      </w:r>
      <w:r w:rsidRPr="00697044">
        <w:rPr>
          <w:rFonts w:ascii="Times New Roman" w:eastAsia="Times New Roman" w:hAnsi="Times New Roman" w:cs="Times New Roman"/>
          <w:bCs/>
          <w:sz w:val="24"/>
          <w:szCs w:val="24"/>
          <w:lang w:eastAsia="ru-RU"/>
        </w:rPr>
        <w:t xml:space="preserve"> </w:t>
      </w:r>
      <w:r w:rsidRPr="00697044">
        <w:rPr>
          <w:rFonts w:ascii="Times New Roman" w:eastAsia="Times New Roman" w:hAnsi="Times New Roman" w:cs="Times New Roman"/>
          <w:bCs/>
          <w:i/>
          <w:sz w:val="24"/>
          <w:szCs w:val="24"/>
          <w:lang w:eastAsia="ru-RU"/>
        </w:rPr>
        <w:t>объём продукции сельского хозяйства</w:t>
      </w:r>
      <w:r w:rsidRPr="00697044">
        <w:rPr>
          <w:rFonts w:ascii="Times New Roman" w:eastAsia="Times New Roman" w:hAnsi="Times New Roman" w:cs="Times New Roman"/>
          <w:sz w:val="24"/>
          <w:szCs w:val="24"/>
          <w:lang w:eastAsia="ru-RU"/>
        </w:rPr>
        <w:t xml:space="preserve"> всех сельхозпроизводителей области в 2017 году составил по предварительным данным </w:t>
      </w:r>
      <w:r>
        <w:rPr>
          <w:rFonts w:ascii="Times New Roman" w:eastAsia="Times New Roman" w:hAnsi="Times New Roman" w:cs="Times New Roman"/>
          <w:sz w:val="24"/>
          <w:szCs w:val="24"/>
          <w:lang w:eastAsia="ru-RU"/>
        </w:rPr>
        <w:br/>
      </w:r>
      <w:r w:rsidRPr="00697044">
        <w:rPr>
          <w:rFonts w:ascii="Times New Roman" w:eastAsia="Times New Roman" w:hAnsi="Times New Roman" w:cs="Times New Roman"/>
          <w:sz w:val="24"/>
          <w:szCs w:val="24"/>
          <w:lang w:eastAsia="ru-RU"/>
        </w:rPr>
        <w:t xml:space="preserve">62225,2 млн. рублей. Темп роста в 2017 году относительно 2016 года </w:t>
      </w:r>
      <w:r>
        <w:rPr>
          <w:rFonts w:ascii="Times New Roman" w:eastAsia="Times New Roman" w:hAnsi="Times New Roman" w:cs="Times New Roman"/>
          <w:sz w:val="24"/>
          <w:szCs w:val="24"/>
          <w:lang w:eastAsia="ru-RU"/>
        </w:rPr>
        <w:br/>
      </w:r>
      <w:r w:rsidRPr="00697044">
        <w:rPr>
          <w:rFonts w:ascii="Times New Roman" w:eastAsia="Times New Roman" w:hAnsi="Times New Roman" w:cs="Times New Roman"/>
          <w:sz w:val="24"/>
          <w:szCs w:val="24"/>
          <w:lang w:eastAsia="ru-RU"/>
        </w:rPr>
        <w:t>составил 117,9 процент</w:t>
      </w:r>
      <w:r>
        <w:rPr>
          <w:rFonts w:ascii="Times New Roman" w:eastAsia="Times New Roman" w:hAnsi="Times New Roman" w:cs="Times New Roman"/>
          <w:sz w:val="24"/>
          <w:szCs w:val="24"/>
          <w:lang w:eastAsia="ru-RU"/>
        </w:rPr>
        <w:t>а</w:t>
      </w:r>
      <w:r w:rsidRPr="00697044">
        <w:rPr>
          <w:rFonts w:ascii="Times New Roman" w:eastAsia="Times New Roman" w:hAnsi="Times New Roman" w:cs="Times New Roman"/>
          <w:sz w:val="24"/>
          <w:szCs w:val="24"/>
          <w:lang w:eastAsia="ru-RU"/>
        </w:rPr>
        <w:t xml:space="preserve"> (индекс производства продукции сельского хозяйства по предварительным данным 112,9 процента). Фактическое значение показателя за 2017 год выше запланированного программой</w:t>
      </w:r>
      <w:r w:rsidRPr="00697044">
        <w:t xml:space="preserve"> </w:t>
      </w:r>
      <w:r w:rsidRPr="00697044">
        <w:rPr>
          <w:rFonts w:ascii="Times New Roman" w:eastAsia="Times New Roman" w:hAnsi="Times New Roman" w:cs="Times New Roman"/>
          <w:sz w:val="24"/>
          <w:szCs w:val="24"/>
          <w:lang w:eastAsia="ru-RU"/>
        </w:rPr>
        <w:t>социально-экономического развития Амурской области на 2013-2017 годы, утвержденной Законом Амурской области от 13.11.2013 № 277-ОЗ, на 33,9 млрд. рублей, или в 2,2 раза.</w:t>
      </w:r>
    </w:p>
    <w:p w:rsidR="00B5633D" w:rsidRPr="0069704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году фактически произведено продукции сельского хозяйства больше ожидаемого прогнозом социально-экономического развития Амурской области на 2017 год, объема на 11,3 млрд. рублей, или 22,2 процента.</w:t>
      </w:r>
    </w:p>
    <w:p w:rsidR="00B5633D" w:rsidRPr="005E1292"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292">
        <w:rPr>
          <w:rFonts w:ascii="Times New Roman" w:eastAsia="Times New Roman" w:hAnsi="Times New Roman" w:cs="Times New Roman"/>
          <w:sz w:val="24"/>
          <w:szCs w:val="24"/>
          <w:lang w:eastAsia="ru-RU"/>
        </w:rPr>
        <w:t>Рост индекса физического объема продукции сельского хозяйства в 2017 году относительно 2016 года произош</w:t>
      </w:r>
      <w:r>
        <w:rPr>
          <w:rFonts w:ascii="Times New Roman" w:eastAsia="Times New Roman" w:hAnsi="Times New Roman" w:cs="Times New Roman"/>
          <w:sz w:val="24"/>
          <w:szCs w:val="24"/>
          <w:lang w:eastAsia="ru-RU"/>
        </w:rPr>
        <w:t>е</w:t>
      </w:r>
      <w:r w:rsidRPr="005E1292">
        <w:rPr>
          <w:rFonts w:ascii="Times New Roman" w:eastAsia="Times New Roman" w:hAnsi="Times New Roman" w:cs="Times New Roman"/>
          <w:sz w:val="24"/>
          <w:szCs w:val="24"/>
          <w:lang w:eastAsia="ru-RU"/>
        </w:rPr>
        <w:t>л вследствие увеличения объема продукции растениеводства (в сопоставимой оценке на 2</w:t>
      </w:r>
      <w:r>
        <w:rPr>
          <w:rFonts w:ascii="Times New Roman" w:eastAsia="Times New Roman" w:hAnsi="Times New Roman" w:cs="Times New Roman"/>
          <w:sz w:val="24"/>
          <w:szCs w:val="24"/>
          <w:lang w:eastAsia="ru-RU"/>
        </w:rPr>
        <w:t>1</w:t>
      </w:r>
      <w:r w:rsidRPr="005E12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E1292">
        <w:rPr>
          <w:rFonts w:ascii="Times New Roman" w:eastAsia="Times New Roman" w:hAnsi="Times New Roman" w:cs="Times New Roman"/>
          <w:sz w:val="24"/>
          <w:szCs w:val="24"/>
          <w:lang w:eastAsia="ru-RU"/>
        </w:rPr>
        <w:t xml:space="preserve"> процента). </w:t>
      </w:r>
    </w:p>
    <w:p w:rsidR="00B5633D" w:rsidRPr="005E1292"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292">
        <w:rPr>
          <w:rFonts w:ascii="Times New Roman" w:eastAsia="Times New Roman" w:hAnsi="Times New Roman" w:cs="Times New Roman"/>
          <w:sz w:val="24"/>
          <w:szCs w:val="24"/>
          <w:lang w:eastAsia="ru-RU"/>
        </w:rPr>
        <w:t>В 2017 году посевная площадь увеличилась на 3,9 процента, в том числе под техническими культурами на 7,9 процента. Посевная площадь под зерновыми культурами сократилась на 8,1 процента, овощами на 9,5</w:t>
      </w:r>
      <w:r>
        <w:rPr>
          <w:rFonts w:ascii="Times New Roman" w:eastAsia="Times New Roman" w:hAnsi="Times New Roman" w:cs="Times New Roman"/>
          <w:sz w:val="24"/>
          <w:szCs w:val="24"/>
          <w:lang w:eastAsia="ru-RU"/>
        </w:rPr>
        <w:t xml:space="preserve"> процента</w:t>
      </w:r>
      <w:r w:rsidRPr="005E1292">
        <w:rPr>
          <w:rFonts w:ascii="Times New Roman" w:eastAsia="Times New Roman" w:hAnsi="Times New Roman" w:cs="Times New Roman"/>
          <w:sz w:val="24"/>
          <w:szCs w:val="24"/>
          <w:lang w:eastAsia="ru-RU"/>
        </w:rPr>
        <w:t>.</w:t>
      </w:r>
    </w:p>
    <w:p w:rsidR="00B5633D" w:rsidRPr="001D120C"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20C">
        <w:rPr>
          <w:rFonts w:ascii="Times New Roman" w:eastAsia="Times New Roman" w:hAnsi="Times New Roman" w:cs="Times New Roman"/>
          <w:sz w:val="24"/>
          <w:szCs w:val="24"/>
          <w:lang w:eastAsia="ru-RU"/>
        </w:rPr>
        <w:t xml:space="preserve">В хозяйствах всех категорий в 2017 году по сравнению с 2016 годом сбор сои (в весе после доработки) вырос на 37,7 процента, картофеля – на 11,1 процента, овощей – на </w:t>
      </w:r>
      <w:r w:rsidR="009F6A70">
        <w:rPr>
          <w:rFonts w:ascii="Times New Roman" w:eastAsia="Times New Roman" w:hAnsi="Times New Roman" w:cs="Times New Roman"/>
          <w:sz w:val="24"/>
          <w:szCs w:val="24"/>
          <w:lang w:eastAsia="ru-RU"/>
        </w:rPr>
        <w:br/>
      </w:r>
      <w:r w:rsidRPr="001D120C">
        <w:rPr>
          <w:rFonts w:ascii="Times New Roman" w:eastAsia="Times New Roman" w:hAnsi="Times New Roman" w:cs="Times New Roman"/>
          <w:sz w:val="24"/>
          <w:szCs w:val="24"/>
          <w:lang w:eastAsia="ru-RU"/>
        </w:rPr>
        <w:t>8,6 процента. Зерновых культур собрано на 16,8 процента меньше, чем в предыдущем году. Объемы производства сои увеличились за счет роста посевных площадей и урожайности, картофеля и овощей – за счет роста урожайности. Объемы производства зерновых культур сократились за счет снижения посевных площадей и урожайности.</w:t>
      </w:r>
    </w:p>
    <w:p w:rsidR="00B5633D" w:rsidRPr="001D120C"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120C">
        <w:rPr>
          <w:rFonts w:ascii="Times New Roman" w:eastAsia="Times New Roman" w:hAnsi="Times New Roman" w:cs="Times New Roman"/>
          <w:sz w:val="24"/>
          <w:szCs w:val="24"/>
          <w:lang w:eastAsia="ru-RU"/>
        </w:rPr>
        <w:t>Валовые сборы основных сельскохозяйственных культур в хозяйствах всех катег</w:t>
      </w:r>
      <w:r w:rsidR="00AA6522">
        <w:rPr>
          <w:rFonts w:ascii="Times New Roman" w:eastAsia="Times New Roman" w:hAnsi="Times New Roman" w:cs="Times New Roman"/>
          <w:sz w:val="24"/>
          <w:szCs w:val="24"/>
          <w:lang w:eastAsia="ru-RU"/>
        </w:rPr>
        <w:t>орий представлены на рисунке 7.</w:t>
      </w:r>
    </w:p>
    <w:p w:rsidR="00B5633D" w:rsidRPr="00AA6522"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C33CB9">
        <w:rPr>
          <w:rFonts w:ascii="Times New Roman" w:eastAsia="Times New Roman" w:hAnsi="Times New Roman" w:cs="Times New Roman"/>
          <w:noProof/>
          <w:color w:val="FF0000"/>
          <w:sz w:val="24"/>
          <w:szCs w:val="24"/>
          <w:highlight w:val="yellow"/>
          <w:lang w:eastAsia="ru-RU"/>
        </w:rPr>
        <w:lastRenderedPageBreak/>
        <w:drawing>
          <wp:inline distT="0" distB="0" distL="0" distR="0" wp14:anchorId="07612758" wp14:editId="352F1544">
            <wp:extent cx="6134100" cy="2371725"/>
            <wp:effectExtent l="0" t="0" r="0" b="0"/>
            <wp:docPr id="1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633D" w:rsidRPr="001D120C"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120C">
        <w:rPr>
          <w:rFonts w:ascii="Times New Roman" w:eastAsia="Times New Roman" w:hAnsi="Times New Roman" w:cs="Times New Roman"/>
          <w:b/>
          <w:sz w:val="24"/>
          <w:szCs w:val="24"/>
          <w:lang w:eastAsia="ru-RU"/>
        </w:rPr>
        <w:t xml:space="preserve">Рис. 7 – Валовые сборы сельскохозяйственных культур в хозяйствах всех </w:t>
      </w:r>
      <w:r w:rsidRPr="001D120C">
        <w:rPr>
          <w:rFonts w:ascii="Times New Roman" w:eastAsia="Times New Roman" w:hAnsi="Times New Roman" w:cs="Times New Roman"/>
          <w:b/>
          <w:sz w:val="24"/>
          <w:szCs w:val="24"/>
          <w:lang w:eastAsia="ru-RU"/>
        </w:rPr>
        <w:br/>
        <w:t>категорий, тыс. тонн</w:t>
      </w:r>
    </w:p>
    <w:p w:rsidR="00B5633D" w:rsidRPr="000E7050"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050">
        <w:rPr>
          <w:rFonts w:ascii="Times New Roman" w:eastAsia="Times New Roman" w:hAnsi="Times New Roman" w:cs="Times New Roman"/>
          <w:sz w:val="24"/>
          <w:szCs w:val="24"/>
          <w:lang w:eastAsia="ru-RU"/>
        </w:rPr>
        <w:t xml:space="preserve">По объему производства продукции сельского хозяйства Амурская область в </w:t>
      </w:r>
      <w:r>
        <w:rPr>
          <w:rFonts w:ascii="Times New Roman" w:eastAsia="Times New Roman" w:hAnsi="Times New Roman" w:cs="Times New Roman"/>
          <w:sz w:val="24"/>
          <w:szCs w:val="24"/>
          <w:lang w:eastAsia="ru-RU"/>
        </w:rPr>
        <w:br/>
      </w:r>
      <w:r w:rsidRPr="000E7050">
        <w:rPr>
          <w:rFonts w:ascii="Times New Roman" w:eastAsia="Times New Roman" w:hAnsi="Times New Roman" w:cs="Times New Roman"/>
          <w:sz w:val="24"/>
          <w:szCs w:val="24"/>
          <w:lang w:eastAsia="ru-RU"/>
        </w:rPr>
        <w:t>2017 году заняла 1 место среди субъектов Дальневосточного федерального округа, по темпам роста индекса производства продукции сельского хозяйства - 2 место в Дальневосточном федеральном округе после Приморского края (индекс производства продукции сельского хозяйства 113,8 процента). Указанное значение выше установленного Программой социально-экономического развития Амурской области на 2013-2017 годы, утвержденной Законом Амурской области от 13.11.2013 № 277-ОЗ, уровня на 11,5 процента.</w:t>
      </w:r>
    </w:p>
    <w:p w:rsidR="00B5633D" w:rsidRPr="000E7050"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050">
        <w:rPr>
          <w:rFonts w:ascii="Times New Roman" w:eastAsia="Times New Roman" w:hAnsi="Times New Roman" w:cs="Times New Roman"/>
          <w:sz w:val="24"/>
          <w:szCs w:val="24"/>
          <w:lang w:eastAsia="ru-RU"/>
        </w:rPr>
        <w:t xml:space="preserve">В животноводстве в хозяйствах всех сельхозпроизводителей в 2017 году по сравнению с 2016 годом производство скота и птицы на убой (в убойном весе) уменьшилось на 5,9 процента, производство молока увеличилось на 1,8 процента, яиц – на 3,5 процента. </w:t>
      </w:r>
    </w:p>
    <w:p w:rsidR="00B5633D" w:rsidRPr="000E7050"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E7050">
        <w:rPr>
          <w:rFonts w:ascii="Times New Roman" w:eastAsia="Times New Roman" w:hAnsi="Times New Roman" w:cs="Times New Roman"/>
          <w:sz w:val="24"/>
          <w:szCs w:val="24"/>
          <w:u w:val="single"/>
          <w:lang w:eastAsia="ru-RU"/>
        </w:rPr>
        <w:t>1.2.3. Строительство и инвестиции в Амурской области.</w:t>
      </w:r>
    </w:p>
    <w:p w:rsidR="00B5633D" w:rsidRPr="000E7050"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E7050">
        <w:rPr>
          <w:rFonts w:ascii="Times New Roman" w:eastAsia="Times New Roman" w:hAnsi="Times New Roman" w:cs="Times New Roman"/>
          <w:i/>
          <w:sz w:val="24"/>
          <w:szCs w:val="24"/>
          <w:lang w:eastAsia="ru-RU"/>
        </w:rPr>
        <w:t xml:space="preserve">Объем </w:t>
      </w:r>
      <w:r w:rsidRPr="000E7050">
        <w:rPr>
          <w:rFonts w:ascii="Times New Roman" w:eastAsia="Times New Roman" w:hAnsi="Times New Roman" w:cs="Times New Roman"/>
          <w:bCs/>
          <w:i/>
          <w:sz w:val="24"/>
          <w:szCs w:val="24"/>
          <w:lang w:eastAsia="ru-RU"/>
        </w:rPr>
        <w:t>работ, выполненных по виду деятельности</w:t>
      </w:r>
      <w:r w:rsidRPr="000E7050">
        <w:rPr>
          <w:rFonts w:ascii="Times New Roman" w:eastAsia="Times New Roman" w:hAnsi="Times New Roman" w:cs="Times New Roman"/>
          <w:bCs/>
          <w:sz w:val="24"/>
          <w:szCs w:val="24"/>
          <w:lang w:eastAsia="ru-RU"/>
        </w:rPr>
        <w:t xml:space="preserve"> </w:t>
      </w:r>
      <w:r w:rsidRPr="000E7050">
        <w:rPr>
          <w:rFonts w:ascii="Times New Roman" w:eastAsia="Times New Roman" w:hAnsi="Times New Roman" w:cs="Times New Roman"/>
          <w:sz w:val="24"/>
          <w:szCs w:val="24"/>
          <w:lang w:eastAsia="ru-RU"/>
        </w:rPr>
        <w:t>«</w:t>
      </w:r>
      <w:r w:rsidRPr="000E7050">
        <w:rPr>
          <w:rFonts w:ascii="Times New Roman" w:eastAsia="Times New Roman" w:hAnsi="Times New Roman" w:cs="Times New Roman"/>
          <w:bCs/>
          <w:sz w:val="24"/>
          <w:szCs w:val="24"/>
          <w:lang w:eastAsia="ru-RU"/>
        </w:rPr>
        <w:t>строительство</w:t>
      </w:r>
      <w:r w:rsidRPr="000E7050">
        <w:rPr>
          <w:rFonts w:ascii="Times New Roman" w:eastAsia="Times New Roman" w:hAnsi="Times New Roman" w:cs="Times New Roman"/>
          <w:sz w:val="24"/>
          <w:szCs w:val="24"/>
          <w:lang w:eastAsia="ru-RU"/>
        </w:rPr>
        <w:t>»</w:t>
      </w:r>
      <w:r w:rsidRPr="000E7050">
        <w:rPr>
          <w:rFonts w:ascii="Times New Roman" w:eastAsia="Times New Roman" w:hAnsi="Times New Roman" w:cs="Times New Roman"/>
          <w:bCs/>
          <w:sz w:val="24"/>
          <w:szCs w:val="24"/>
          <w:lang w:eastAsia="ru-RU"/>
        </w:rPr>
        <w:t xml:space="preserve">, в 2017 году составил 107027,0 млн. рублей, или 185,7 процента к уровню 2016 года в сопоставимых ценах. </w:t>
      </w:r>
    </w:p>
    <w:p w:rsidR="00B5633D" w:rsidRPr="000E7050"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E7050">
        <w:rPr>
          <w:rFonts w:ascii="Times New Roman" w:eastAsia="Times New Roman" w:hAnsi="Times New Roman" w:cs="Times New Roman"/>
          <w:bCs/>
          <w:sz w:val="24"/>
          <w:szCs w:val="24"/>
          <w:lang w:eastAsia="ru-RU"/>
        </w:rPr>
        <w:t>Основная часть (86,7 процента) объема работ по виду деятельности «строительство» в 2017 году (по крупным и средним организациям) выполнена организациями частной формы собственности (в 2016 году – 79,6 процента),</w:t>
      </w:r>
      <w:r w:rsidRPr="000E7050">
        <w:t xml:space="preserve"> </w:t>
      </w:r>
      <w:r w:rsidRPr="000E7050">
        <w:rPr>
          <w:rFonts w:ascii="Times New Roman" w:eastAsia="Times New Roman" w:hAnsi="Times New Roman" w:cs="Times New Roman"/>
          <w:bCs/>
          <w:sz w:val="24"/>
          <w:szCs w:val="24"/>
          <w:lang w:eastAsia="ru-RU"/>
        </w:rPr>
        <w:t>на долю государственных организаций приходилось 5,8 процента объема работ (в 2016 году – 11,8 процента), организаций смешанной формы собственности – 0,9 процента (в 2016 году – 0,9 процента).</w:t>
      </w:r>
    </w:p>
    <w:p w:rsidR="00B5633D"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0133B">
        <w:rPr>
          <w:rFonts w:ascii="Times New Roman" w:eastAsia="Times New Roman" w:hAnsi="Times New Roman" w:cs="Times New Roman"/>
          <w:bCs/>
          <w:sz w:val="24"/>
          <w:szCs w:val="24"/>
          <w:lang w:eastAsia="ru-RU"/>
        </w:rPr>
        <w:t xml:space="preserve">В 2017 году из субъектов Дальневосточного федерального округа положительную динамику данного показателя имели 4 субъектов из 9. По темпу роста объема работ по виду деятельности «Строительство» в 2017 году Амурская область занимала 1 место среди субъектов Дальневосточного федерального округа. На 2 месте – Еврейская автономная область, где темп роста в 2017 году относительно 2016 года составил 171,4 процента, </w:t>
      </w:r>
      <w:r w:rsidR="009F6A70">
        <w:rPr>
          <w:rFonts w:ascii="Times New Roman" w:eastAsia="Times New Roman" w:hAnsi="Times New Roman" w:cs="Times New Roman"/>
          <w:bCs/>
          <w:sz w:val="24"/>
          <w:szCs w:val="24"/>
          <w:lang w:eastAsia="ru-RU"/>
        </w:rPr>
        <w:br/>
      </w:r>
      <w:r w:rsidRPr="00A0133B">
        <w:rPr>
          <w:rFonts w:ascii="Times New Roman" w:eastAsia="Times New Roman" w:hAnsi="Times New Roman" w:cs="Times New Roman"/>
          <w:bCs/>
          <w:sz w:val="24"/>
          <w:szCs w:val="24"/>
          <w:lang w:eastAsia="ru-RU"/>
        </w:rPr>
        <w:t>на 2 месте – Республика Саха (Якутия) с темпом роста 121,4 процента.</w:t>
      </w:r>
    </w:p>
    <w:p w:rsidR="00B5633D" w:rsidRPr="00A0133B"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Однако наибольший объем работ по данному виду деятельности в 2017 году обеспечен в Республике Саха (Якутия) – 146,5 млрд. рублей (1 место среди субъектов Дальневосточного федерального округа). Амурская область по данному показателю </w:t>
      </w:r>
      <w:r w:rsidR="009F6A70">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в 2017 году занимает 2 место среди субъектов округа.  </w:t>
      </w:r>
    </w:p>
    <w:p w:rsidR="00B5633D" w:rsidRPr="002F4F16"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F4F16">
        <w:rPr>
          <w:rFonts w:ascii="Times New Roman" w:eastAsia="Times New Roman" w:hAnsi="Times New Roman" w:cs="Times New Roman"/>
          <w:bCs/>
          <w:sz w:val="24"/>
          <w:szCs w:val="24"/>
          <w:lang w:eastAsia="ru-RU"/>
        </w:rPr>
        <w:t xml:space="preserve">Фактическое значение показателя, выше предусмотренного программой социально-экономического развития Амурской области на 2013-2017 годы, утвержденной Законом Амурской области от 13.11.2013 № 277-ОЗ, на 2017 год по данному виду деятельности на 65,8 млрд. рублей. </w:t>
      </w:r>
    </w:p>
    <w:p w:rsidR="00B5633D" w:rsidRPr="002F4F16"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F4F16">
        <w:rPr>
          <w:rFonts w:ascii="Times New Roman" w:eastAsia="Times New Roman" w:hAnsi="Times New Roman" w:cs="Times New Roman"/>
          <w:bCs/>
          <w:sz w:val="24"/>
          <w:szCs w:val="24"/>
          <w:lang w:eastAsia="ru-RU"/>
        </w:rPr>
        <w:t>В соответствии с прогнозом социально-экономического развития Амурской области на 2017 год, ожидаемый объем производства по виду деятельности «Строительство» ниже фактически сложившегося значения на 57,9 млрд. рублей (в 2,2 раза).</w:t>
      </w:r>
    </w:p>
    <w:p w:rsidR="00B5633D" w:rsidRPr="0048078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78A">
        <w:rPr>
          <w:rFonts w:ascii="Times New Roman" w:eastAsia="Times New Roman" w:hAnsi="Times New Roman" w:cs="Times New Roman"/>
          <w:sz w:val="24"/>
          <w:szCs w:val="24"/>
          <w:lang w:eastAsia="ru-RU"/>
        </w:rPr>
        <w:t xml:space="preserve">Сводный индекс цен на продукцию (затраты, услуги) инвестиционного назначения отражает общее изменение цен в строительстве объектов различных видов экономической </w:t>
      </w:r>
      <w:r w:rsidRPr="0048078A">
        <w:rPr>
          <w:rFonts w:ascii="Times New Roman" w:eastAsia="Times New Roman" w:hAnsi="Times New Roman" w:cs="Times New Roman"/>
          <w:sz w:val="24"/>
          <w:szCs w:val="24"/>
          <w:lang w:eastAsia="ru-RU"/>
        </w:rPr>
        <w:lastRenderedPageBreak/>
        <w:t>деятельности и рассчитывается как агрегированный показатель из индексов цен производителей в строительстве, на машины и оборудование, используемые в строительстве, и прочие капитальные работы и затраты, взвешенных по доле этих элементов в общем объеме инвестиций в основной капитал. Динамика индексов цен на продукцию (затраты, услуги) инвестиционного назначения и на рынке жилья приведена на рисунке 8.</w:t>
      </w:r>
    </w:p>
    <w:p w:rsidR="00B5633D" w:rsidRPr="00AA6522" w:rsidRDefault="00B5633D" w:rsidP="00B56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3CB9">
        <w:rPr>
          <w:rFonts w:ascii="Times New Roman" w:eastAsia="Times New Roman" w:hAnsi="Times New Roman" w:cs="Times New Roman"/>
          <w:noProof/>
          <w:color w:val="FF0000"/>
          <w:sz w:val="24"/>
          <w:szCs w:val="24"/>
          <w:lang w:eastAsia="ru-RU"/>
        </w:rPr>
        <w:drawing>
          <wp:inline distT="0" distB="0" distL="0" distR="0" wp14:anchorId="6A4F9151" wp14:editId="0986B270">
            <wp:extent cx="6324600" cy="3962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633D" w:rsidRPr="0048078A" w:rsidRDefault="00B5633D" w:rsidP="00B5633D">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078A">
        <w:rPr>
          <w:rFonts w:ascii="Times New Roman" w:eastAsia="Times New Roman" w:hAnsi="Times New Roman" w:cs="Times New Roman"/>
          <w:b/>
          <w:sz w:val="24"/>
          <w:szCs w:val="24"/>
          <w:lang w:eastAsia="ru-RU"/>
        </w:rPr>
        <w:t xml:space="preserve">Рис. 8 - Динамика индексов цен в строительстве и на рынке жилья </w:t>
      </w:r>
    </w:p>
    <w:p w:rsidR="00B5633D" w:rsidRPr="0048078A" w:rsidRDefault="00B5633D" w:rsidP="00B5633D">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078A">
        <w:rPr>
          <w:rFonts w:ascii="Times New Roman" w:eastAsia="Times New Roman" w:hAnsi="Times New Roman" w:cs="Times New Roman"/>
          <w:b/>
          <w:sz w:val="24"/>
          <w:szCs w:val="24"/>
          <w:lang w:eastAsia="ru-RU"/>
        </w:rPr>
        <w:t>в Амурской области за 201</w:t>
      </w:r>
      <w:r>
        <w:rPr>
          <w:rFonts w:ascii="Times New Roman" w:eastAsia="Times New Roman" w:hAnsi="Times New Roman" w:cs="Times New Roman"/>
          <w:b/>
          <w:sz w:val="24"/>
          <w:szCs w:val="24"/>
          <w:lang w:eastAsia="ru-RU"/>
        </w:rPr>
        <w:t>3</w:t>
      </w:r>
      <w:r w:rsidRPr="0048078A">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48078A">
        <w:rPr>
          <w:rFonts w:ascii="Times New Roman" w:eastAsia="Times New Roman" w:hAnsi="Times New Roman" w:cs="Times New Roman"/>
          <w:b/>
          <w:sz w:val="24"/>
          <w:szCs w:val="24"/>
          <w:lang w:eastAsia="ru-RU"/>
        </w:rPr>
        <w:t xml:space="preserve"> годы, процентов</w:t>
      </w:r>
    </w:p>
    <w:p w:rsidR="00B5633D" w:rsidRPr="00DC6867"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6867">
        <w:rPr>
          <w:rFonts w:ascii="Times New Roman" w:eastAsia="Times New Roman" w:hAnsi="Times New Roman" w:cs="Times New Roman"/>
          <w:sz w:val="24"/>
          <w:szCs w:val="24"/>
          <w:lang w:eastAsia="ru-RU"/>
        </w:rPr>
        <w:t>Сводный индекс цен на продукцию (затраты, услуги) инвестиционного назначения в декабре 2017 года составил 109,7 процента к декабрю 2016 года (в декабре 2016 года рост составлял 114,2 процента к декабрю 2015 года). По приросту цен на строительную продукцию (затраты, услуги) в 2017 году Амурская область</w:t>
      </w:r>
      <w:r>
        <w:rPr>
          <w:rFonts w:ascii="Times New Roman" w:eastAsia="Times New Roman" w:hAnsi="Times New Roman" w:cs="Times New Roman"/>
          <w:sz w:val="24"/>
          <w:szCs w:val="24"/>
          <w:lang w:eastAsia="ru-RU"/>
        </w:rPr>
        <w:t xml:space="preserve"> вместе с Камчатским краем</w:t>
      </w:r>
      <w:r w:rsidRPr="00DC6867">
        <w:rPr>
          <w:rFonts w:ascii="Times New Roman" w:eastAsia="Times New Roman" w:hAnsi="Times New Roman" w:cs="Times New Roman"/>
          <w:sz w:val="24"/>
          <w:szCs w:val="24"/>
          <w:lang w:eastAsia="ru-RU"/>
        </w:rPr>
        <w:t xml:space="preserve"> заняла второе место среди субъектов Дальневосточного федерального округа после Еврейской автономной области (112,5 процента в декабре 2017 к декабрю 2016 года). </w:t>
      </w:r>
      <w:r w:rsidR="008C30C5">
        <w:rPr>
          <w:rFonts w:ascii="Times New Roman" w:eastAsia="Times New Roman" w:hAnsi="Times New Roman" w:cs="Times New Roman"/>
          <w:sz w:val="24"/>
          <w:szCs w:val="24"/>
          <w:lang w:eastAsia="ru-RU"/>
        </w:rPr>
        <w:t>Снижение</w:t>
      </w:r>
      <w:r w:rsidRPr="00DC6867">
        <w:rPr>
          <w:rFonts w:ascii="Times New Roman" w:eastAsia="Times New Roman" w:hAnsi="Times New Roman" w:cs="Times New Roman"/>
          <w:sz w:val="24"/>
          <w:szCs w:val="24"/>
          <w:lang w:eastAsia="ru-RU"/>
        </w:rPr>
        <w:t xml:space="preserve"> индекса цен на строительную продукцию в 2017 году среди субъектов Дальневосточного федерального округа наблюдается в Сахалинской области – </w:t>
      </w:r>
      <w:r>
        <w:rPr>
          <w:rFonts w:ascii="Times New Roman" w:eastAsia="Times New Roman" w:hAnsi="Times New Roman" w:cs="Times New Roman"/>
          <w:sz w:val="24"/>
          <w:szCs w:val="24"/>
          <w:lang w:eastAsia="ru-RU"/>
        </w:rPr>
        <w:br/>
      </w:r>
      <w:r w:rsidRPr="00DC6867">
        <w:rPr>
          <w:rFonts w:ascii="Times New Roman" w:eastAsia="Times New Roman" w:hAnsi="Times New Roman" w:cs="Times New Roman"/>
          <w:sz w:val="24"/>
          <w:szCs w:val="24"/>
          <w:lang w:eastAsia="ru-RU"/>
        </w:rPr>
        <w:t>95,7 процента. В целом по России значение данного индекса в декабре 2017 года составило 104,9 процента относительно декабря 2016 года.</w:t>
      </w:r>
    </w:p>
    <w:p w:rsidR="00B5633D" w:rsidRPr="00DC6867"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6867">
        <w:rPr>
          <w:rFonts w:ascii="Times New Roman" w:eastAsia="Times New Roman" w:hAnsi="Times New Roman" w:cs="Times New Roman"/>
          <w:i/>
          <w:sz w:val="24"/>
          <w:szCs w:val="24"/>
          <w:lang w:eastAsia="ru-RU"/>
        </w:rPr>
        <w:t>Цены на первичном рынке жилья</w:t>
      </w:r>
      <w:r w:rsidRPr="00DC6867">
        <w:rPr>
          <w:rFonts w:ascii="Times New Roman" w:eastAsia="Times New Roman" w:hAnsi="Times New Roman" w:cs="Times New Roman"/>
          <w:sz w:val="24"/>
          <w:szCs w:val="24"/>
          <w:lang w:eastAsia="ru-RU"/>
        </w:rPr>
        <w:t xml:space="preserve"> в декабре 2017 года снизились по отношению к декабрю 2016 года на 3,7 процента. На вторичном рынке цены остались на уровне предыдущего года: индекс цен составил 100,2 процента в декабре 2017 года относительно 2016 года. По </w:t>
      </w:r>
      <w:r w:rsidRPr="00DC6867">
        <w:rPr>
          <w:rFonts w:ascii="Times New Roman" w:eastAsia="Times New Roman" w:hAnsi="Times New Roman" w:cs="Times New Roman"/>
          <w:i/>
          <w:sz w:val="24"/>
          <w:szCs w:val="24"/>
          <w:lang w:eastAsia="ru-RU"/>
        </w:rPr>
        <w:t>уровню</w:t>
      </w:r>
      <w:r w:rsidRPr="00DC6867">
        <w:rPr>
          <w:rFonts w:ascii="Times New Roman" w:eastAsia="Times New Roman" w:hAnsi="Times New Roman" w:cs="Times New Roman"/>
          <w:sz w:val="24"/>
          <w:szCs w:val="24"/>
          <w:lang w:eastAsia="ru-RU"/>
        </w:rPr>
        <w:t xml:space="preserve"> </w:t>
      </w:r>
      <w:r w:rsidRPr="00DC6867">
        <w:rPr>
          <w:rFonts w:ascii="Times New Roman" w:eastAsia="Times New Roman" w:hAnsi="Times New Roman" w:cs="Times New Roman"/>
          <w:i/>
          <w:sz w:val="24"/>
          <w:szCs w:val="24"/>
          <w:lang w:eastAsia="ru-RU"/>
        </w:rPr>
        <w:t>цен на первичном и вторичном рынке жилья</w:t>
      </w:r>
      <w:r w:rsidRPr="00DC6867">
        <w:rPr>
          <w:rFonts w:ascii="Times New Roman" w:eastAsia="Times New Roman" w:hAnsi="Times New Roman" w:cs="Times New Roman"/>
          <w:sz w:val="24"/>
          <w:szCs w:val="24"/>
          <w:lang w:eastAsia="ru-RU"/>
        </w:rPr>
        <w:t xml:space="preserve"> Амурская область </w:t>
      </w:r>
      <w:r w:rsidR="009F6A70">
        <w:rPr>
          <w:rFonts w:ascii="Times New Roman" w:eastAsia="Times New Roman" w:hAnsi="Times New Roman" w:cs="Times New Roman"/>
          <w:sz w:val="24"/>
          <w:szCs w:val="24"/>
          <w:lang w:eastAsia="ru-RU"/>
        </w:rPr>
        <w:br/>
      </w:r>
      <w:r w:rsidRPr="00DC6867">
        <w:rPr>
          <w:rFonts w:ascii="Times New Roman" w:eastAsia="Times New Roman" w:hAnsi="Times New Roman" w:cs="Times New Roman"/>
          <w:sz w:val="24"/>
          <w:szCs w:val="24"/>
          <w:lang w:eastAsia="ru-RU"/>
        </w:rPr>
        <w:t xml:space="preserve">в 2017 году занимала 6 место среди субъектов Дальневосточного федерального округа. </w:t>
      </w:r>
    </w:p>
    <w:p w:rsidR="00B5633D" w:rsidRPr="0010304C"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04C">
        <w:rPr>
          <w:rFonts w:ascii="Times New Roman" w:eastAsia="Times New Roman" w:hAnsi="Times New Roman" w:cs="Times New Roman"/>
          <w:sz w:val="24"/>
          <w:szCs w:val="24"/>
          <w:lang w:eastAsia="ru-RU"/>
        </w:rPr>
        <w:t>Наибольшая цена за 1 квадратный метр жилья на первичном рынке в 2017 году сложилась в Камчатском крае 76,2 тыс. рублей</w:t>
      </w:r>
      <w:r>
        <w:rPr>
          <w:rFonts w:ascii="Times New Roman" w:eastAsia="Times New Roman" w:hAnsi="Times New Roman" w:cs="Times New Roman"/>
          <w:sz w:val="24"/>
          <w:szCs w:val="24"/>
          <w:lang w:eastAsia="ru-RU"/>
        </w:rPr>
        <w:t xml:space="preserve">, на вторичном рынке жилья - в </w:t>
      </w:r>
      <w:r w:rsidRPr="0010304C">
        <w:rPr>
          <w:rFonts w:ascii="Times New Roman" w:eastAsia="Times New Roman" w:hAnsi="Times New Roman" w:cs="Times New Roman"/>
          <w:sz w:val="24"/>
          <w:szCs w:val="24"/>
          <w:lang w:eastAsia="ru-RU"/>
        </w:rPr>
        <w:t>Сахалинской области – 96,2 тыс. рублей</w:t>
      </w:r>
      <w:r>
        <w:rPr>
          <w:rFonts w:ascii="Times New Roman" w:eastAsia="Times New Roman" w:hAnsi="Times New Roman" w:cs="Times New Roman"/>
          <w:sz w:val="24"/>
          <w:szCs w:val="24"/>
          <w:lang w:eastAsia="ru-RU"/>
        </w:rPr>
        <w:t>. Н</w:t>
      </w:r>
      <w:r w:rsidRPr="0010304C">
        <w:rPr>
          <w:rFonts w:ascii="Times New Roman" w:eastAsia="Times New Roman" w:hAnsi="Times New Roman" w:cs="Times New Roman"/>
          <w:sz w:val="24"/>
          <w:szCs w:val="24"/>
          <w:lang w:eastAsia="ru-RU"/>
        </w:rPr>
        <w:t xml:space="preserve">аименьшая </w:t>
      </w:r>
      <w:r>
        <w:rPr>
          <w:rFonts w:ascii="Times New Roman" w:eastAsia="Times New Roman" w:hAnsi="Times New Roman" w:cs="Times New Roman"/>
          <w:sz w:val="24"/>
          <w:szCs w:val="24"/>
          <w:lang w:eastAsia="ru-RU"/>
        </w:rPr>
        <w:t xml:space="preserve">цена за 1 квадратный метр жилья на первичном и вторичном рынке в 2017 году сложилась в Еврейской автономной области: 36,7 тыс. рублей и 37,1 тыс. рублей, соответственно. </w:t>
      </w:r>
    </w:p>
    <w:p w:rsidR="00B5633D" w:rsidRPr="0020046C"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04C">
        <w:rPr>
          <w:rFonts w:ascii="Times New Roman" w:eastAsia="Times New Roman" w:hAnsi="Times New Roman" w:cs="Times New Roman"/>
          <w:sz w:val="24"/>
          <w:szCs w:val="24"/>
          <w:lang w:eastAsia="ru-RU"/>
        </w:rPr>
        <w:t xml:space="preserve">В 2017 году на территории области организациями всех форм собственности построено 3357 квартир. Общая площадь введенных в действие жилых домов в 2017 году составила 181,6 тыс. кв. метров, что на 17,9 процента ниже уровня 2016 года. </w:t>
      </w:r>
      <w:r w:rsidRPr="0020046C">
        <w:rPr>
          <w:rFonts w:ascii="Times New Roman" w:eastAsia="Times New Roman" w:hAnsi="Times New Roman" w:cs="Times New Roman"/>
          <w:sz w:val="24"/>
          <w:szCs w:val="24"/>
          <w:lang w:eastAsia="ru-RU"/>
        </w:rPr>
        <w:t xml:space="preserve">По показателю </w:t>
      </w:r>
      <w:r w:rsidRPr="0020046C">
        <w:rPr>
          <w:rFonts w:ascii="Times New Roman" w:eastAsia="Times New Roman" w:hAnsi="Times New Roman" w:cs="Times New Roman"/>
          <w:i/>
          <w:sz w:val="24"/>
          <w:szCs w:val="24"/>
          <w:lang w:eastAsia="ru-RU"/>
        </w:rPr>
        <w:t>ввода жилья</w:t>
      </w:r>
      <w:r w:rsidRPr="0020046C">
        <w:rPr>
          <w:rFonts w:ascii="Times New Roman" w:eastAsia="Times New Roman" w:hAnsi="Times New Roman" w:cs="Times New Roman"/>
          <w:sz w:val="24"/>
          <w:szCs w:val="24"/>
          <w:lang w:eastAsia="ru-RU"/>
        </w:rPr>
        <w:t xml:space="preserve"> </w:t>
      </w:r>
      <w:r w:rsidRPr="0020046C">
        <w:rPr>
          <w:rFonts w:ascii="Times New Roman" w:eastAsia="Times New Roman" w:hAnsi="Times New Roman" w:cs="Times New Roman"/>
          <w:i/>
          <w:sz w:val="24"/>
          <w:szCs w:val="24"/>
          <w:lang w:eastAsia="ru-RU"/>
        </w:rPr>
        <w:t xml:space="preserve">в эксплуатацию </w:t>
      </w:r>
      <w:r w:rsidRPr="0020046C">
        <w:rPr>
          <w:rFonts w:ascii="Times New Roman" w:eastAsia="Times New Roman" w:hAnsi="Times New Roman" w:cs="Times New Roman"/>
          <w:sz w:val="24"/>
          <w:szCs w:val="24"/>
          <w:lang w:eastAsia="ru-RU"/>
        </w:rPr>
        <w:t xml:space="preserve">Амурская область в 2017 году занимала 5 место среди регионов </w:t>
      </w:r>
      <w:r w:rsidRPr="0020046C">
        <w:rPr>
          <w:rFonts w:ascii="Times New Roman" w:eastAsia="Times New Roman" w:hAnsi="Times New Roman" w:cs="Times New Roman"/>
          <w:sz w:val="24"/>
          <w:szCs w:val="24"/>
          <w:lang w:eastAsia="ru-RU"/>
        </w:rPr>
        <w:lastRenderedPageBreak/>
        <w:t xml:space="preserve">Дальневосточного федерального округа после Хабаровского края (в 2017 году введено </w:t>
      </w:r>
      <w:r w:rsidR="009F6A70">
        <w:rPr>
          <w:rFonts w:ascii="Times New Roman" w:eastAsia="Times New Roman" w:hAnsi="Times New Roman" w:cs="Times New Roman"/>
          <w:sz w:val="24"/>
          <w:szCs w:val="24"/>
          <w:lang w:eastAsia="ru-RU"/>
        </w:rPr>
        <w:br/>
      </w:r>
      <w:r w:rsidRPr="0020046C">
        <w:rPr>
          <w:rFonts w:ascii="Times New Roman" w:eastAsia="Times New Roman" w:hAnsi="Times New Roman" w:cs="Times New Roman"/>
          <w:sz w:val="24"/>
          <w:szCs w:val="24"/>
          <w:lang w:eastAsia="ru-RU"/>
        </w:rPr>
        <w:t>269,7 тыс. кв. метров общей площади жилья) и Сахалинской области (в 2017 году введено 340,6 тыс. кв. метров общей площади жилья). На первом месте по данному показателю среди субъектов Дальневосточного федерального округа находилась Республика Саха (Якутия), где в 2017 году введено 634,6 тыс. кв. метров общей площади жилых домов.</w:t>
      </w:r>
    </w:p>
    <w:p w:rsidR="00B5633D" w:rsidRPr="0020046C"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46C">
        <w:rPr>
          <w:rFonts w:ascii="Times New Roman" w:eastAsia="Times New Roman" w:hAnsi="Times New Roman" w:cs="Times New Roman"/>
          <w:sz w:val="24"/>
          <w:szCs w:val="24"/>
          <w:lang w:eastAsia="ru-RU"/>
        </w:rPr>
        <w:t>Ожидаемое значение показателя, предусмотренное Программой социально-экономического развития Амурской области на 2013-2017 годы, утвержденной Законом Амурской области от 13.11.2013 № 277-ОЗ, на 2017 год по показателю «ввод в действие жилых домов» выше фактически сложившегося на 378,4 тыс. кв. метров (предусмотрено 560,0 тыс. кв. метров).</w:t>
      </w:r>
      <w:r w:rsidRPr="0020046C">
        <w:t xml:space="preserve"> </w:t>
      </w:r>
      <w:r w:rsidRPr="0020046C">
        <w:rPr>
          <w:rFonts w:ascii="Times New Roman" w:eastAsia="Times New Roman" w:hAnsi="Times New Roman" w:cs="Times New Roman"/>
          <w:sz w:val="24"/>
          <w:szCs w:val="24"/>
          <w:lang w:eastAsia="ru-RU"/>
        </w:rPr>
        <w:t>Прогнозом социально-экономического развития Амурской области на 2017 год, в 2017 году ввод в действие жилых домов также ожидался на более высоком уровне: 265,0 тыс. кв. метров.</w:t>
      </w:r>
    </w:p>
    <w:p w:rsidR="00B5633D" w:rsidRPr="0020046C"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46C">
        <w:rPr>
          <w:rFonts w:ascii="Times New Roman" w:eastAsia="Times New Roman" w:hAnsi="Times New Roman" w:cs="Times New Roman"/>
          <w:sz w:val="24"/>
          <w:szCs w:val="24"/>
          <w:lang w:eastAsia="ru-RU"/>
        </w:rPr>
        <w:t xml:space="preserve">Ввод жилья в Амурской области за январь-декабрь 2017 года в разрезе городских округов и муниципальных районов представлен на рисунке </w:t>
      </w:r>
      <w:r>
        <w:rPr>
          <w:rFonts w:ascii="Times New Roman" w:eastAsia="Times New Roman" w:hAnsi="Times New Roman" w:cs="Times New Roman"/>
          <w:sz w:val="24"/>
          <w:szCs w:val="24"/>
          <w:lang w:eastAsia="ru-RU"/>
        </w:rPr>
        <w:t>9</w:t>
      </w:r>
      <w:r w:rsidRPr="0020046C">
        <w:rPr>
          <w:rFonts w:ascii="Times New Roman" w:eastAsia="Times New Roman" w:hAnsi="Times New Roman" w:cs="Times New Roman"/>
          <w:sz w:val="24"/>
          <w:szCs w:val="24"/>
          <w:lang w:eastAsia="ru-RU"/>
        </w:rPr>
        <w:t>.</w:t>
      </w:r>
    </w:p>
    <w:p w:rsidR="00B5633D" w:rsidRPr="00DC3C63"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C63">
        <w:rPr>
          <w:rFonts w:ascii="Times New Roman" w:eastAsia="Times New Roman" w:hAnsi="Times New Roman" w:cs="Times New Roman"/>
          <w:sz w:val="24"/>
          <w:szCs w:val="24"/>
          <w:lang w:eastAsia="ru-RU"/>
        </w:rPr>
        <w:t xml:space="preserve">Среди городских округов и муниципальных районов области наибольший ввод жилья осуществлялся в областном центре, где было введено 94,2 тыс. кв. метров жилья, или </w:t>
      </w:r>
      <w:r w:rsidRPr="00DC3C63">
        <w:rPr>
          <w:rFonts w:ascii="Times New Roman" w:eastAsia="Times New Roman" w:hAnsi="Times New Roman" w:cs="Times New Roman"/>
          <w:sz w:val="24"/>
          <w:szCs w:val="24"/>
          <w:lang w:eastAsia="ru-RU"/>
        </w:rPr>
        <w:br/>
        <w:t xml:space="preserve">51,9 процента общего объема по области, г. Свободном (21,9 тыс. кв. метров жилья, или </w:t>
      </w:r>
      <w:r>
        <w:rPr>
          <w:rFonts w:ascii="Times New Roman" w:eastAsia="Times New Roman" w:hAnsi="Times New Roman" w:cs="Times New Roman"/>
          <w:sz w:val="24"/>
          <w:szCs w:val="24"/>
          <w:lang w:eastAsia="ru-RU"/>
        </w:rPr>
        <w:br/>
      </w:r>
      <w:r w:rsidRPr="00DC3C63">
        <w:rPr>
          <w:rFonts w:ascii="Times New Roman" w:eastAsia="Times New Roman" w:hAnsi="Times New Roman" w:cs="Times New Roman"/>
          <w:sz w:val="24"/>
          <w:szCs w:val="24"/>
          <w:lang w:eastAsia="ru-RU"/>
        </w:rPr>
        <w:t>12,1 процента), а также  Благовещенском муниципальном районе (20,5 тыс. кв. метров, или 11,3 процента).</w:t>
      </w:r>
    </w:p>
    <w:p w:rsidR="00B5633D" w:rsidRPr="00DC3C63"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33D" w:rsidRPr="00AA6522"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33CB9">
        <w:rPr>
          <w:rFonts w:ascii="Times New Roman" w:eastAsia="Times New Roman" w:hAnsi="Times New Roman" w:cs="Times New Roman"/>
          <w:noProof/>
          <w:color w:val="FF0000"/>
          <w:sz w:val="24"/>
          <w:szCs w:val="24"/>
          <w:highlight w:val="yellow"/>
          <w:lang w:eastAsia="ru-RU"/>
        </w:rPr>
        <w:drawing>
          <wp:inline distT="0" distB="0" distL="0" distR="0" wp14:anchorId="0F781648" wp14:editId="0CFB865A">
            <wp:extent cx="5591175" cy="2705100"/>
            <wp:effectExtent l="0" t="0" r="0" b="0"/>
            <wp:docPr id="23"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633D" w:rsidRPr="00DC3C63"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3C63">
        <w:rPr>
          <w:rFonts w:ascii="Times New Roman" w:eastAsia="Times New Roman" w:hAnsi="Times New Roman" w:cs="Times New Roman"/>
          <w:b/>
          <w:sz w:val="24"/>
          <w:szCs w:val="24"/>
          <w:lang w:eastAsia="ru-RU"/>
        </w:rPr>
        <w:t xml:space="preserve">Рис. </w:t>
      </w:r>
      <w:r>
        <w:rPr>
          <w:rFonts w:ascii="Times New Roman" w:eastAsia="Times New Roman" w:hAnsi="Times New Roman" w:cs="Times New Roman"/>
          <w:b/>
          <w:sz w:val="24"/>
          <w:szCs w:val="24"/>
          <w:lang w:eastAsia="ru-RU"/>
        </w:rPr>
        <w:t>9</w:t>
      </w:r>
      <w:r w:rsidRPr="00DC3C63">
        <w:rPr>
          <w:rFonts w:ascii="Times New Roman" w:eastAsia="Times New Roman" w:hAnsi="Times New Roman" w:cs="Times New Roman"/>
          <w:b/>
          <w:sz w:val="24"/>
          <w:szCs w:val="24"/>
          <w:lang w:eastAsia="ru-RU"/>
        </w:rPr>
        <w:t xml:space="preserve"> – Ввод жилья в Амурской области в 2017 году, </w:t>
      </w:r>
      <w:r w:rsidRPr="00DC3C63">
        <w:rPr>
          <w:rFonts w:ascii="Times New Roman" w:eastAsia="Times New Roman" w:hAnsi="Times New Roman" w:cs="Times New Roman"/>
          <w:b/>
          <w:sz w:val="24"/>
          <w:szCs w:val="24"/>
          <w:lang w:eastAsia="ru-RU"/>
        </w:rPr>
        <w:br/>
        <w:t>в разрезе городских округов и муниципальных районов</w:t>
      </w:r>
    </w:p>
    <w:p w:rsidR="00B5633D" w:rsidRPr="00F119A3"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9A3">
        <w:rPr>
          <w:rFonts w:ascii="Times New Roman" w:eastAsia="Times New Roman" w:hAnsi="Times New Roman" w:cs="Times New Roman"/>
          <w:i/>
          <w:sz w:val="24"/>
          <w:szCs w:val="24"/>
          <w:lang w:eastAsia="ru-RU"/>
        </w:rPr>
        <w:t>Объем инвестиций в основной капитал</w:t>
      </w:r>
      <w:r w:rsidRPr="00F119A3">
        <w:rPr>
          <w:rFonts w:ascii="Times New Roman" w:eastAsia="Times New Roman" w:hAnsi="Times New Roman" w:cs="Times New Roman"/>
          <w:sz w:val="24"/>
          <w:szCs w:val="24"/>
          <w:lang w:eastAsia="ru-RU"/>
        </w:rPr>
        <w:t xml:space="preserve"> в 2017 году по предварительной оценке составил в фактически действовавших ценах 1</w:t>
      </w:r>
      <w:r w:rsidR="008C30C5">
        <w:rPr>
          <w:rFonts w:ascii="Times New Roman" w:eastAsia="Times New Roman" w:hAnsi="Times New Roman" w:cs="Times New Roman"/>
          <w:sz w:val="24"/>
          <w:szCs w:val="24"/>
          <w:lang w:eastAsia="ru-RU"/>
        </w:rPr>
        <w:t>86,6</w:t>
      </w:r>
      <w:r w:rsidRPr="00F119A3">
        <w:rPr>
          <w:rFonts w:ascii="Times New Roman" w:eastAsia="Times New Roman" w:hAnsi="Times New Roman" w:cs="Times New Roman"/>
          <w:sz w:val="24"/>
          <w:szCs w:val="24"/>
          <w:lang w:eastAsia="ru-RU"/>
        </w:rPr>
        <w:t xml:space="preserve"> млрд. рублей, что в сопоставимых ценах к уровню 2016 года составляет 136,6 процента, и, меньше установленного Программой социально-экономического развития Амурской области на 2013-2017 годы, утвержденной Законом Амурской области от 13.11.2013 № 277-ОЗ, на 2017 год значения на </w:t>
      </w:r>
      <w:r w:rsidR="008C30C5">
        <w:rPr>
          <w:rFonts w:ascii="Times New Roman" w:eastAsia="Times New Roman" w:hAnsi="Times New Roman" w:cs="Times New Roman"/>
          <w:sz w:val="24"/>
          <w:szCs w:val="24"/>
          <w:lang w:eastAsia="ru-RU"/>
        </w:rPr>
        <w:t>10,5</w:t>
      </w:r>
      <w:r w:rsidRPr="00F119A3">
        <w:rPr>
          <w:rFonts w:ascii="Times New Roman" w:eastAsia="Times New Roman" w:hAnsi="Times New Roman" w:cs="Times New Roman"/>
          <w:sz w:val="24"/>
          <w:szCs w:val="24"/>
          <w:lang w:eastAsia="ru-RU"/>
        </w:rPr>
        <w:t xml:space="preserve"> млрд. рублей, или </w:t>
      </w:r>
      <w:r w:rsidR="008C30C5">
        <w:rPr>
          <w:rFonts w:ascii="Times New Roman" w:eastAsia="Times New Roman" w:hAnsi="Times New Roman" w:cs="Times New Roman"/>
          <w:sz w:val="24"/>
          <w:szCs w:val="24"/>
          <w:lang w:eastAsia="ru-RU"/>
        </w:rPr>
        <w:t>5,3</w:t>
      </w:r>
      <w:r w:rsidRPr="00F119A3">
        <w:rPr>
          <w:rFonts w:ascii="Times New Roman" w:eastAsia="Times New Roman" w:hAnsi="Times New Roman" w:cs="Times New Roman"/>
          <w:sz w:val="24"/>
          <w:szCs w:val="24"/>
          <w:lang w:eastAsia="ru-RU"/>
        </w:rPr>
        <w:t xml:space="preserve"> процента.</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w:t>
      </w:r>
      <w:r w:rsidRPr="0020046C">
        <w:rPr>
          <w:rFonts w:ascii="Times New Roman" w:eastAsia="Times New Roman" w:hAnsi="Times New Roman" w:cs="Times New Roman"/>
          <w:sz w:val="24"/>
          <w:szCs w:val="24"/>
          <w:lang w:eastAsia="ru-RU"/>
        </w:rPr>
        <w:t>рогнозом социально-экономического развития Амурской области на 2017 год,</w:t>
      </w:r>
      <w:r>
        <w:rPr>
          <w:rFonts w:ascii="Times New Roman" w:eastAsia="Times New Roman" w:hAnsi="Times New Roman" w:cs="Times New Roman"/>
          <w:sz w:val="24"/>
          <w:szCs w:val="24"/>
          <w:lang w:eastAsia="ru-RU"/>
        </w:rPr>
        <w:t xml:space="preserve"> ожидаемый объем инвестиций в основной капитал составляет</w:t>
      </w:r>
      <w:r w:rsidRPr="00F119A3">
        <w:rPr>
          <w:rFonts w:ascii="Times New Roman" w:eastAsia="Times New Roman" w:hAnsi="Times New Roman" w:cs="Times New Roman"/>
          <w:sz w:val="24"/>
          <w:szCs w:val="24"/>
          <w:lang w:eastAsia="ru-RU"/>
        </w:rPr>
        <w:t xml:space="preserve"> 116,8 млрд. рублей</w:t>
      </w:r>
      <w:r>
        <w:rPr>
          <w:rFonts w:ascii="Times New Roman" w:eastAsia="Times New Roman" w:hAnsi="Times New Roman" w:cs="Times New Roman"/>
          <w:sz w:val="24"/>
          <w:szCs w:val="24"/>
          <w:lang w:eastAsia="ru-RU"/>
        </w:rPr>
        <w:t xml:space="preserve">, что ниже фактически сложившегося уровня на </w:t>
      </w:r>
      <w:r w:rsidR="002D7157">
        <w:rPr>
          <w:rFonts w:ascii="Times New Roman" w:eastAsia="Times New Roman" w:hAnsi="Times New Roman" w:cs="Times New Roman"/>
          <w:sz w:val="24"/>
          <w:szCs w:val="24"/>
          <w:lang w:eastAsia="ru-RU"/>
        </w:rPr>
        <w:t>69,8</w:t>
      </w:r>
      <w:r>
        <w:rPr>
          <w:rFonts w:ascii="Times New Roman" w:eastAsia="Times New Roman" w:hAnsi="Times New Roman" w:cs="Times New Roman"/>
          <w:sz w:val="24"/>
          <w:szCs w:val="24"/>
          <w:lang w:eastAsia="ru-RU"/>
        </w:rPr>
        <w:t xml:space="preserve"> млрд. рублей</w:t>
      </w:r>
      <w:r w:rsidR="008C30C5">
        <w:rPr>
          <w:rFonts w:ascii="Times New Roman" w:eastAsia="Times New Roman" w:hAnsi="Times New Roman" w:cs="Times New Roman"/>
          <w:sz w:val="24"/>
          <w:szCs w:val="24"/>
          <w:lang w:eastAsia="ru-RU"/>
        </w:rPr>
        <w:t>.</w:t>
      </w:r>
    </w:p>
    <w:p w:rsidR="00B5633D" w:rsidRPr="00F119A3"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9A3">
        <w:rPr>
          <w:rFonts w:ascii="Times New Roman" w:eastAsia="Times New Roman" w:hAnsi="Times New Roman" w:cs="Times New Roman"/>
          <w:sz w:val="24"/>
          <w:szCs w:val="24"/>
          <w:lang w:eastAsia="ru-RU"/>
        </w:rPr>
        <w:t>Основным источником финансирования инвестиций в основной капитал (без субъектов малого предпринимательства и объема инвестиций, не наблюдаемых прямыми статистическими методами) в 2017 году являлись, как и в предыдущие годы, привлеченные средства (от 64,0 процентов до 83,0 процентов общего объема) - кредиты банков, заемные, бюджетные средства, средства внебюджетных фондов и прочие.</w:t>
      </w:r>
    </w:p>
    <w:p w:rsidR="00B5633D" w:rsidRPr="00572EB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EB4">
        <w:rPr>
          <w:rFonts w:ascii="Times New Roman" w:eastAsia="Times New Roman" w:hAnsi="Times New Roman" w:cs="Times New Roman"/>
          <w:sz w:val="24"/>
          <w:szCs w:val="24"/>
          <w:lang w:eastAsia="ru-RU"/>
        </w:rPr>
        <w:t xml:space="preserve">Объемы инвестирования в основной капитал влияют на показатели ввода новых основных фондов. Степень износа основных фондов в Амурской области на конец 2016 года </w:t>
      </w:r>
      <w:r w:rsidRPr="00572EB4">
        <w:rPr>
          <w:rFonts w:ascii="Times New Roman" w:eastAsia="Times New Roman" w:hAnsi="Times New Roman" w:cs="Times New Roman"/>
          <w:sz w:val="24"/>
          <w:szCs w:val="24"/>
          <w:lang w:eastAsia="ru-RU"/>
        </w:rPr>
        <w:lastRenderedPageBreak/>
        <w:t>составила 44,9 процента. Коэффициент обновления основных фондов в сопоставимых ценах на конец 2016 года составил 3,8 процента.</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EB4">
        <w:rPr>
          <w:rFonts w:ascii="Times New Roman" w:eastAsia="Times New Roman" w:hAnsi="Times New Roman" w:cs="Times New Roman"/>
          <w:sz w:val="24"/>
          <w:szCs w:val="24"/>
          <w:lang w:eastAsia="ru-RU"/>
        </w:rPr>
        <w:t xml:space="preserve">В структуре инвестиций в основной капитал по видам основных фондов в 2017 году </w:t>
      </w:r>
      <w:r>
        <w:rPr>
          <w:rFonts w:ascii="Times New Roman" w:eastAsia="Times New Roman" w:hAnsi="Times New Roman" w:cs="Times New Roman"/>
          <w:sz w:val="24"/>
          <w:szCs w:val="24"/>
          <w:lang w:eastAsia="ru-RU"/>
        </w:rPr>
        <w:t>более 80,0 процентов</w:t>
      </w:r>
      <w:r w:rsidRPr="00572EB4">
        <w:rPr>
          <w:rFonts w:ascii="Times New Roman" w:eastAsia="Times New Roman" w:hAnsi="Times New Roman" w:cs="Times New Roman"/>
          <w:sz w:val="24"/>
          <w:szCs w:val="24"/>
          <w:lang w:eastAsia="ru-RU"/>
        </w:rPr>
        <w:t xml:space="preserve"> занимали инвестиции в здания (кроме жилых) и сооружения. Доля инвестиций, направленных на развитие активной части основных фондов (машины, оборудование, транспортные средства), составила 16,5 процента. </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состоянию на конец 2016 года стоимость основных фондов в Амурской области составила </w:t>
      </w:r>
      <w:r w:rsidRPr="00572EB4">
        <w:rPr>
          <w:rFonts w:ascii="Times New Roman" w:eastAsia="Times New Roman" w:hAnsi="Times New Roman" w:cs="Times New Roman"/>
          <w:sz w:val="24"/>
          <w:szCs w:val="24"/>
          <w:lang w:eastAsia="ru-RU"/>
        </w:rPr>
        <w:t>1009</w:t>
      </w:r>
      <w:r>
        <w:rPr>
          <w:rFonts w:ascii="Times New Roman" w:eastAsia="Times New Roman" w:hAnsi="Times New Roman" w:cs="Times New Roman"/>
          <w:sz w:val="24"/>
          <w:szCs w:val="24"/>
          <w:lang w:eastAsia="ru-RU"/>
        </w:rPr>
        <w:t xml:space="preserve">,2 млрд. рублей. Из общей стоимости </w:t>
      </w:r>
      <w:r w:rsidRPr="00572EB4">
        <w:rPr>
          <w:rFonts w:ascii="Times New Roman" w:eastAsia="Times New Roman" w:hAnsi="Times New Roman" w:cs="Times New Roman"/>
          <w:sz w:val="24"/>
          <w:szCs w:val="24"/>
          <w:lang w:eastAsia="ru-RU"/>
        </w:rPr>
        <w:t>50,6 процента занимали основные фонды транспорта и связи, 14,5 процента - производства и распределения электроэнергии, газа и воды.</w:t>
      </w:r>
    </w:p>
    <w:p w:rsidR="00B5633D" w:rsidRPr="00F119A3"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году б</w:t>
      </w:r>
      <w:r w:rsidRPr="00F119A3">
        <w:rPr>
          <w:rFonts w:ascii="Times New Roman" w:eastAsia="Times New Roman" w:hAnsi="Times New Roman" w:cs="Times New Roman"/>
          <w:sz w:val="24"/>
          <w:szCs w:val="24"/>
          <w:lang w:eastAsia="ru-RU"/>
        </w:rPr>
        <w:t xml:space="preserve">олее 100,0 млрд. рублей инвестиций в основной капитал (74,8 процента от общего объема по области без субъектов малого предпринимательства и объема инвестиций, не наблюдаемых прямыми статистическими методами) направлено в «транспортировку и хранение». </w:t>
      </w:r>
      <w:r w:rsidRPr="00572EB4">
        <w:rPr>
          <w:rFonts w:ascii="Times New Roman" w:eastAsia="Times New Roman" w:hAnsi="Times New Roman" w:cs="Times New Roman"/>
          <w:sz w:val="24"/>
          <w:szCs w:val="24"/>
          <w:lang w:eastAsia="ru-RU"/>
        </w:rPr>
        <w:t>На развитие «обеспечения электрической энергией, газом и паром; кондиционирования воздуха» использовано более 12</w:t>
      </w:r>
      <w:r>
        <w:rPr>
          <w:rFonts w:ascii="Times New Roman" w:eastAsia="Times New Roman" w:hAnsi="Times New Roman" w:cs="Times New Roman"/>
          <w:sz w:val="24"/>
          <w:szCs w:val="24"/>
          <w:lang w:eastAsia="ru-RU"/>
        </w:rPr>
        <w:t>,0</w:t>
      </w:r>
      <w:r w:rsidRPr="00572EB4">
        <w:rPr>
          <w:rFonts w:ascii="Times New Roman" w:eastAsia="Times New Roman" w:hAnsi="Times New Roman" w:cs="Times New Roman"/>
          <w:sz w:val="24"/>
          <w:szCs w:val="24"/>
          <w:lang w:eastAsia="ru-RU"/>
        </w:rPr>
        <w:t xml:space="preserve"> млрд.</w:t>
      </w:r>
      <w:r>
        <w:rPr>
          <w:rFonts w:ascii="Times New Roman" w:eastAsia="Times New Roman" w:hAnsi="Times New Roman" w:cs="Times New Roman"/>
          <w:sz w:val="24"/>
          <w:szCs w:val="24"/>
          <w:lang w:eastAsia="ru-RU"/>
        </w:rPr>
        <w:t xml:space="preserve"> </w:t>
      </w:r>
      <w:r w:rsidRPr="00572EB4">
        <w:rPr>
          <w:rFonts w:ascii="Times New Roman" w:eastAsia="Times New Roman" w:hAnsi="Times New Roman" w:cs="Times New Roman"/>
          <w:sz w:val="24"/>
          <w:szCs w:val="24"/>
          <w:lang w:eastAsia="ru-RU"/>
        </w:rPr>
        <w:t>рублей инвестиций в основной капитал</w:t>
      </w:r>
      <w:r>
        <w:rPr>
          <w:rFonts w:ascii="Times New Roman" w:eastAsia="Times New Roman" w:hAnsi="Times New Roman" w:cs="Times New Roman"/>
          <w:sz w:val="24"/>
          <w:szCs w:val="24"/>
          <w:lang w:eastAsia="ru-RU"/>
        </w:rPr>
        <w:t xml:space="preserve"> (8,6 процента</w:t>
      </w:r>
      <w:r w:rsidRPr="00572EB4">
        <w:rPr>
          <w:rFonts w:ascii="Times New Roman" w:eastAsia="Times New Roman" w:hAnsi="Times New Roman" w:cs="Times New Roman"/>
          <w:sz w:val="24"/>
          <w:szCs w:val="24"/>
          <w:lang w:eastAsia="ru-RU"/>
        </w:rPr>
        <w:t xml:space="preserve"> от общего объема)</w:t>
      </w:r>
      <w:r>
        <w:rPr>
          <w:rFonts w:ascii="Times New Roman" w:eastAsia="Times New Roman" w:hAnsi="Times New Roman" w:cs="Times New Roman"/>
          <w:sz w:val="24"/>
          <w:szCs w:val="24"/>
          <w:lang w:eastAsia="ru-RU"/>
        </w:rPr>
        <w:t>.</w:t>
      </w:r>
    </w:p>
    <w:p w:rsidR="00B5633D" w:rsidRPr="00572EB4"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EB4">
        <w:rPr>
          <w:rFonts w:ascii="Times New Roman" w:eastAsia="Times New Roman" w:hAnsi="Times New Roman" w:cs="Times New Roman"/>
          <w:sz w:val="24"/>
          <w:szCs w:val="24"/>
          <w:lang w:eastAsia="ru-RU"/>
        </w:rPr>
        <w:t xml:space="preserve">В 2017 году на территории области продолжалась реализация крупных инвестиционных проектов, среди которых строительство Нижне-Бурейской ГЭС, газоперерабатывающего </w:t>
      </w:r>
      <w:r w:rsidR="008C30C5">
        <w:rPr>
          <w:rFonts w:ascii="Times New Roman" w:eastAsia="Times New Roman" w:hAnsi="Times New Roman" w:cs="Times New Roman"/>
          <w:sz w:val="24"/>
          <w:szCs w:val="24"/>
          <w:lang w:eastAsia="ru-RU"/>
        </w:rPr>
        <w:t>завод</w:t>
      </w:r>
      <w:r w:rsidRPr="00572EB4">
        <w:rPr>
          <w:rFonts w:ascii="Times New Roman" w:eastAsia="Times New Roman" w:hAnsi="Times New Roman" w:cs="Times New Roman"/>
          <w:sz w:val="24"/>
          <w:szCs w:val="24"/>
          <w:lang w:eastAsia="ru-RU"/>
        </w:rPr>
        <w:t>а, газопровода «Сила Сибири», объектов космодрома «Восточный», реконструкция участков федеральной автодороги «Лена», строительство и реконструкция участков автодорог регионального и местного значения, реконструкция аэропорта п. Экимчан,</w:t>
      </w:r>
      <w:r w:rsidRPr="00572EB4">
        <w:t xml:space="preserve"> </w:t>
      </w:r>
      <w:r w:rsidRPr="00572EB4">
        <w:rPr>
          <w:rFonts w:ascii="Times New Roman" w:eastAsia="Times New Roman" w:hAnsi="Times New Roman" w:cs="Times New Roman"/>
          <w:sz w:val="24"/>
          <w:szCs w:val="24"/>
          <w:lang w:eastAsia="ru-RU"/>
        </w:rPr>
        <w:t>реконструкция посадочной площадки Бомнак, пограничного мостового перехода через реку Амур (Хэйлунцзян) в районе городов Благовещенск и Хэйхэ и другие.</w:t>
      </w:r>
    </w:p>
    <w:p w:rsidR="00B5633D" w:rsidRPr="00D13AA6"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D13AA6">
        <w:rPr>
          <w:rFonts w:ascii="Times New Roman" w:eastAsia="Times New Roman" w:hAnsi="Times New Roman" w:cs="Times New Roman"/>
          <w:sz w:val="24"/>
          <w:szCs w:val="20"/>
          <w:u w:val="single"/>
          <w:lang w:eastAsia="ru-RU"/>
        </w:rPr>
        <w:t>1.2.4. Транс</w:t>
      </w:r>
      <w:r w:rsidR="008C30C5">
        <w:rPr>
          <w:rFonts w:ascii="Times New Roman" w:eastAsia="Times New Roman" w:hAnsi="Times New Roman" w:cs="Times New Roman"/>
          <w:sz w:val="24"/>
          <w:szCs w:val="20"/>
          <w:u w:val="single"/>
          <w:lang w:eastAsia="ru-RU"/>
        </w:rPr>
        <w:t>порт и связь в Амурской области</w:t>
      </w:r>
    </w:p>
    <w:p w:rsidR="00B5633D" w:rsidRPr="00D13AA6"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13AA6">
        <w:rPr>
          <w:rFonts w:ascii="Times New Roman" w:eastAsia="Times New Roman" w:hAnsi="Times New Roman" w:cs="Times New Roman"/>
          <w:i/>
          <w:sz w:val="24"/>
          <w:szCs w:val="20"/>
          <w:lang w:eastAsia="ru-RU"/>
        </w:rPr>
        <w:t>Грузооборот</w:t>
      </w:r>
      <w:r w:rsidRPr="00D13AA6">
        <w:rPr>
          <w:rFonts w:ascii="Times New Roman" w:eastAsia="Times New Roman" w:hAnsi="Times New Roman" w:cs="Times New Roman"/>
          <w:sz w:val="24"/>
          <w:szCs w:val="20"/>
          <w:lang w:eastAsia="ru-RU"/>
        </w:rPr>
        <w:t xml:space="preserve"> автомобильного транспорта (включая коммерческий и некоммерческий грузооборот) в 2017 году составил 751,0 млн. тонно-километров и увеличился по сравнению с 2016 годом на 0,9 процента.</w:t>
      </w:r>
    </w:p>
    <w:p w:rsidR="00B5633D" w:rsidRPr="00D13AA6" w:rsidRDefault="00B5633D" w:rsidP="00B5633D">
      <w:pPr>
        <w:widowControl w:val="0"/>
        <w:autoSpaceDE w:val="0"/>
        <w:autoSpaceDN w:val="0"/>
        <w:adjustRightInd w:val="0"/>
        <w:spacing w:after="0" w:line="240" w:lineRule="auto"/>
        <w:ind w:firstLine="709"/>
        <w:jc w:val="both"/>
      </w:pPr>
      <w:r w:rsidRPr="00D13AA6">
        <w:rPr>
          <w:rFonts w:ascii="Times New Roman" w:eastAsia="Times New Roman" w:hAnsi="Times New Roman" w:cs="Times New Roman"/>
          <w:i/>
          <w:sz w:val="24"/>
          <w:szCs w:val="20"/>
          <w:lang w:eastAsia="ru-RU"/>
        </w:rPr>
        <w:t>Индекс тарифов на грузовые перевозки</w:t>
      </w:r>
      <w:r w:rsidRPr="00D13AA6">
        <w:rPr>
          <w:rFonts w:ascii="Times New Roman" w:eastAsia="Times New Roman" w:hAnsi="Times New Roman" w:cs="Times New Roman"/>
          <w:sz w:val="24"/>
          <w:szCs w:val="20"/>
          <w:lang w:eastAsia="ru-RU"/>
        </w:rPr>
        <w:t xml:space="preserve"> в декабре 2017 года составил </w:t>
      </w:r>
      <w:r w:rsidRPr="00D13AA6">
        <w:rPr>
          <w:rFonts w:ascii="Times New Roman" w:eastAsia="Times New Roman" w:hAnsi="Times New Roman" w:cs="Times New Roman"/>
          <w:sz w:val="24"/>
          <w:szCs w:val="20"/>
          <w:lang w:eastAsia="ru-RU"/>
        </w:rPr>
        <w:br/>
        <w:t>127,9 процента к декабрю 2016 года.</w:t>
      </w:r>
      <w:r w:rsidRPr="00D13AA6">
        <w:t xml:space="preserve"> </w:t>
      </w:r>
    </w:p>
    <w:p w:rsidR="00B5633D" w:rsidRPr="00D13AA6"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13AA6">
        <w:rPr>
          <w:rFonts w:ascii="Times New Roman" w:eastAsia="Times New Roman" w:hAnsi="Times New Roman" w:cs="Times New Roman"/>
          <w:sz w:val="24"/>
          <w:szCs w:val="20"/>
          <w:lang w:eastAsia="ru-RU"/>
        </w:rPr>
        <w:t>Пассажирооборот по сравнению с 2016 годом увеличился на 2,7 процента и составил 357,4 млн. пассажиро-км.</w:t>
      </w:r>
    </w:p>
    <w:p w:rsidR="00B5633D" w:rsidRPr="00D13AA6"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13AA6">
        <w:rPr>
          <w:rFonts w:ascii="Times New Roman" w:eastAsia="Times New Roman" w:hAnsi="Times New Roman" w:cs="Times New Roman"/>
          <w:sz w:val="24"/>
          <w:szCs w:val="20"/>
          <w:lang w:eastAsia="ru-RU"/>
        </w:rPr>
        <w:t xml:space="preserve">В 2017 году общий </w:t>
      </w:r>
      <w:r w:rsidRPr="00D13AA6">
        <w:rPr>
          <w:rFonts w:ascii="Times New Roman" w:eastAsia="Times New Roman" w:hAnsi="Times New Roman" w:cs="Times New Roman"/>
          <w:i/>
          <w:sz w:val="24"/>
          <w:szCs w:val="20"/>
          <w:lang w:eastAsia="ru-RU"/>
        </w:rPr>
        <w:t>объём услуг связи</w:t>
      </w:r>
      <w:r w:rsidRPr="00D13AA6">
        <w:rPr>
          <w:rFonts w:ascii="Times New Roman" w:eastAsia="Times New Roman" w:hAnsi="Times New Roman" w:cs="Times New Roman"/>
          <w:sz w:val="24"/>
          <w:szCs w:val="20"/>
          <w:lang w:eastAsia="ru-RU"/>
        </w:rPr>
        <w:t>, оказанный всеми организациями связи, составил по предварительным данным в фактически действовавших ценах 8213,9 млн. рублей, в том числе услуг связи населению – 5091,2 млн. рублей (за 2016 год - соответственно 7721,2 и 4941,8 млн. рублей).</w:t>
      </w:r>
    </w:p>
    <w:p w:rsidR="00B5633D" w:rsidRPr="00D13AA6"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D13AA6">
        <w:rPr>
          <w:rFonts w:ascii="Times New Roman" w:eastAsia="Times New Roman" w:hAnsi="Times New Roman" w:cs="Times New Roman"/>
          <w:sz w:val="24"/>
          <w:szCs w:val="20"/>
          <w:u w:val="single"/>
          <w:lang w:eastAsia="ru-RU"/>
        </w:rPr>
        <w:t>1.2.5. Торговля и услуги.</w:t>
      </w:r>
    </w:p>
    <w:p w:rsidR="00B5633D" w:rsidRPr="00D13AA6"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D13AA6">
        <w:rPr>
          <w:rFonts w:ascii="Times New Roman" w:eastAsia="Times New Roman" w:hAnsi="Times New Roman" w:cs="Times New Roman"/>
          <w:sz w:val="24"/>
          <w:szCs w:val="20"/>
          <w:lang w:eastAsia="ru-RU"/>
        </w:rPr>
        <w:t xml:space="preserve">В 2017 году </w:t>
      </w:r>
      <w:r w:rsidRPr="00D13AA6">
        <w:rPr>
          <w:rFonts w:ascii="Times New Roman" w:eastAsia="Times New Roman" w:hAnsi="Times New Roman" w:cs="Times New Roman"/>
          <w:i/>
          <w:sz w:val="24"/>
          <w:szCs w:val="20"/>
          <w:lang w:eastAsia="ru-RU"/>
        </w:rPr>
        <w:t>оборот оптовой торговли</w:t>
      </w:r>
      <w:r w:rsidRPr="00D13AA6">
        <w:rPr>
          <w:rFonts w:ascii="Times New Roman" w:eastAsia="Times New Roman" w:hAnsi="Times New Roman" w:cs="Times New Roman"/>
          <w:sz w:val="24"/>
          <w:szCs w:val="20"/>
          <w:lang w:eastAsia="ru-RU"/>
        </w:rPr>
        <w:t xml:space="preserve"> сложился в сумме 115,6 млрд. рублей, что в сопоставимой оценке больше на 7,2 процента, чем в 2016 году. </w:t>
      </w:r>
    </w:p>
    <w:p w:rsidR="00B5633D" w:rsidRPr="008466D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D13AA6">
        <w:rPr>
          <w:rFonts w:ascii="Times New Roman" w:eastAsia="Times New Roman" w:hAnsi="Times New Roman" w:cs="Times New Roman"/>
          <w:i/>
          <w:sz w:val="24"/>
          <w:szCs w:val="20"/>
          <w:lang w:eastAsia="ru-RU"/>
        </w:rPr>
        <w:t xml:space="preserve">Оборот розничной торговли </w:t>
      </w:r>
      <w:r w:rsidRPr="00D13AA6">
        <w:rPr>
          <w:rFonts w:ascii="Times New Roman" w:eastAsia="Times New Roman" w:hAnsi="Times New Roman" w:cs="Times New Roman"/>
          <w:sz w:val="24"/>
          <w:szCs w:val="20"/>
          <w:lang w:eastAsia="ru-RU"/>
        </w:rPr>
        <w:t>в Амурской</w:t>
      </w:r>
      <w:r w:rsidRPr="00D13AA6">
        <w:rPr>
          <w:rFonts w:ascii="Times New Roman" w:eastAsia="Times New Roman" w:hAnsi="Times New Roman" w:cs="Times New Roman"/>
          <w:i/>
          <w:sz w:val="24"/>
          <w:szCs w:val="20"/>
          <w:lang w:eastAsia="ru-RU"/>
        </w:rPr>
        <w:t xml:space="preserve"> </w:t>
      </w:r>
      <w:r w:rsidRPr="00D13AA6">
        <w:rPr>
          <w:rFonts w:ascii="Times New Roman" w:eastAsia="Times New Roman" w:hAnsi="Times New Roman" w:cs="Times New Roman"/>
          <w:sz w:val="24"/>
          <w:szCs w:val="20"/>
          <w:lang w:eastAsia="ru-RU"/>
        </w:rPr>
        <w:t xml:space="preserve">области за 2017 год составил 161,6 млрд. рублей и по сравнению с 2016 годом в сопоставимой оценке возрос на 2,0 процента. </w:t>
      </w:r>
      <w:r w:rsidR="009F6A70">
        <w:rPr>
          <w:rFonts w:ascii="Times New Roman" w:eastAsia="Times New Roman" w:hAnsi="Times New Roman" w:cs="Times New Roman"/>
          <w:sz w:val="24"/>
          <w:szCs w:val="20"/>
          <w:lang w:eastAsia="ru-RU"/>
        </w:rPr>
        <w:br/>
      </w:r>
      <w:r w:rsidRPr="008466DF">
        <w:rPr>
          <w:rFonts w:ascii="Times New Roman" w:eastAsia="Times New Roman" w:hAnsi="Times New Roman" w:cs="Times New Roman"/>
          <w:sz w:val="24"/>
          <w:szCs w:val="20"/>
          <w:lang w:eastAsia="ru-RU"/>
        </w:rPr>
        <w:t>В структуре оборота розничной торговли в 2017 году 51,9 процента занимают непродовольственные товары, 48,1 процента – продовольствие.</w:t>
      </w:r>
    </w:p>
    <w:p w:rsidR="00B5633D" w:rsidRPr="00C36EE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466DF">
        <w:rPr>
          <w:rFonts w:ascii="Times New Roman" w:eastAsia="Times New Roman" w:hAnsi="Times New Roman" w:cs="Times New Roman"/>
          <w:i/>
          <w:sz w:val="24"/>
          <w:szCs w:val="20"/>
          <w:lang w:eastAsia="ru-RU"/>
        </w:rPr>
        <w:t>Индекс физического объема оборота розничной торговли</w:t>
      </w:r>
      <w:r w:rsidRPr="008466DF">
        <w:rPr>
          <w:rFonts w:ascii="Times New Roman" w:eastAsia="Times New Roman" w:hAnsi="Times New Roman" w:cs="Times New Roman"/>
          <w:sz w:val="24"/>
          <w:szCs w:val="20"/>
          <w:lang w:eastAsia="ru-RU"/>
        </w:rPr>
        <w:t xml:space="preserve"> в 2017 году по пищевым продуктам, включая напитки и табачные изделия, составил 102,0 процента, по </w:t>
      </w:r>
      <w:r w:rsidRPr="00C36EEA">
        <w:rPr>
          <w:rFonts w:ascii="Times New Roman" w:eastAsia="Times New Roman" w:hAnsi="Times New Roman" w:cs="Times New Roman"/>
          <w:sz w:val="24"/>
          <w:szCs w:val="20"/>
          <w:lang w:eastAsia="ru-RU"/>
        </w:rPr>
        <w:t>непродовольственным товарам – 103,0 процента по отношению к 2016 году.</w:t>
      </w:r>
    </w:p>
    <w:p w:rsidR="00B5633D" w:rsidRPr="00C36EE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36EEA">
        <w:rPr>
          <w:rFonts w:ascii="Times New Roman" w:eastAsia="Times New Roman" w:hAnsi="Times New Roman" w:cs="Times New Roman"/>
          <w:sz w:val="24"/>
          <w:szCs w:val="20"/>
          <w:lang w:eastAsia="ru-RU"/>
        </w:rPr>
        <w:t>По состоянию на 01.01.2018 товарные запасы в организациях розничной торговли составляли 4,7 млрд. рублей,</w:t>
      </w:r>
      <w:r w:rsidRPr="00C36EEA">
        <w:t xml:space="preserve"> </w:t>
      </w:r>
      <w:r w:rsidRPr="00C36EEA">
        <w:rPr>
          <w:rFonts w:ascii="Times New Roman" w:eastAsia="Times New Roman" w:hAnsi="Times New Roman" w:cs="Times New Roman"/>
          <w:sz w:val="24"/>
          <w:szCs w:val="20"/>
          <w:lang w:eastAsia="ru-RU"/>
        </w:rPr>
        <w:t xml:space="preserve">что в товарной массе на 7,0 процентов больше, чем на начало января 2017 года. Обеспеченность ими организаций розничной торговли соответствовала </w:t>
      </w:r>
      <w:r w:rsidR="009F6A70">
        <w:rPr>
          <w:rFonts w:ascii="Times New Roman" w:eastAsia="Times New Roman" w:hAnsi="Times New Roman" w:cs="Times New Roman"/>
          <w:sz w:val="24"/>
          <w:szCs w:val="20"/>
          <w:lang w:eastAsia="ru-RU"/>
        </w:rPr>
        <w:br/>
      </w:r>
      <w:r w:rsidRPr="00C36EEA">
        <w:rPr>
          <w:rFonts w:ascii="Times New Roman" w:eastAsia="Times New Roman" w:hAnsi="Times New Roman" w:cs="Times New Roman"/>
          <w:sz w:val="24"/>
          <w:szCs w:val="20"/>
          <w:lang w:eastAsia="ru-RU"/>
        </w:rPr>
        <w:t xml:space="preserve">35 дням торговли. </w:t>
      </w:r>
    </w:p>
    <w:p w:rsidR="00B5633D" w:rsidRPr="00C36EEA" w:rsidRDefault="00B5633D" w:rsidP="00B5633D">
      <w:pPr>
        <w:widowControl w:val="0"/>
        <w:autoSpaceDE w:val="0"/>
        <w:autoSpaceDN w:val="0"/>
        <w:adjustRightInd w:val="0"/>
        <w:spacing w:after="0" w:line="240" w:lineRule="auto"/>
        <w:ind w:firstLine="709"/>
        <w:jc w:val="both"/>
      </w:pPr>
      <w:r w:rsidRPr="00C36EEA">
        <w:rPr>
          <w:rFonts w:ascii="Times New Roman" w:eastAsia="Times New Roman" w:hAnsi="Times New Roman" w:cs="Times New Roman"/>
          <w:i/>
          <w:sz w:val="24"/>
          <w:szCs w:val="20"/>
          <w:lang w:eastAsia="ru-RU"/>
        </w:rPr>
        <w:t>Оборот общественного питания</w:t>
      </w:r>
      <w:r w:rsidRPr="00C36EEA">
        <w:rPr>
          <w:rFonts w:ascii="Times New Roman" w:eastAsia="Times New Roman" w:hAnsi="Times New Roman" w:cs="Times New Roman"/>
          <w:sz w:val="24"/>
          <w:szCs w:val="20"/>
          <w:lang w:eastAsia="ru-RU"/>
        </w:rPr>
        <w:t xml:space="preserve"> области за 2017 год составил 5,9 млрд. рублей, что составляет 103,9 процента уровня 2016 года (в сопоставимых ценах - рост на </w:t>
      </w:r>
      <w:r w:rsidRPr="00C36EEA">
        <w:rPr>
          <w:rFonts w:ascii="Times New Roman" w:eastAsia="Times New Roman" w:hAnsi="Times New Roman" w:cs="Times New Roman"/>
          <w:sz w:val="24"/>
          <w:szCs w:val="20"/>
          <w:lang w:eastAsia="ru-RU"/>
        </w:rPr>
        <w:br/>
        <w:t>1,0 процент).</w:t>
      </w:r>
      <w:r w:rsidRPr="00C36EEA">
        <w:t xml:space="preserve"> </w:t>
      </w:r>
    </w:p>
    <w:p w:rsidR="00B5633D" w:rsidRPr="00C36EEA" w:rsidRDefault="00B5633D" w:rsidP="00B5633D">
      <w:pPr>
        <w:widowControl w:val="0"/>
        <w:autoSpaceDE w:val="0"/>
        <w:autoSpaceDN w:val="0"/>
        <w:adjustRightInd w:val="0"/>
        <w:spacing w:after="0" w:line="240" w:lineRule="auto"/>
        <w:ind w:firstLine="709"/>
        <w:jc w:val="both"/>
      </w:pPr>
      <w:r w:rsidRPr="00C36EEA">
        <w:rPr>
          <w:rFonts w:ascii="Times New Roman" w:eastAsia="Times New Roman" w:hAnsi="Times New Roman" w:cs="Times New Roman"/>
          <w:sz w:val="24"/>
          <w:szCs w:val="20"/>
          <w:lang w:eastAsia="ru-RU"/>
        </w:rPr>
        <w:lastRenderedPageBreak/>
        <w:t xml:space="preserve">В 2017 году населению области </w:t>
      </w:r>
      <w:r w:rsidRPr="00C36EEA">
        <w:rPr>
          <w:rFonts w:ascii="Times New Roman" w:eastAsia="Times New Roman" w:hAnsi="Times New Roman" w:cs="Times New Roman"/>
          <w:i/>
          <w:sz w:val="24"/>
          <w:szCs w:val="20"/>
          <w:lang w:eastAsia="ru-RU"/>
        </w:rPr>
        <w:t>оказано платных услуг</w:t>
      </w:r>
      <w:r w:rsidRPr="00C36EEA">
        <w:rPr>
          <w:rFonts w:ascii="Times New Roman" w:eastAsia="Times New Roman" w:hAnsi="Times New Roman" w:cs="Times New Roman"/>
          <w:sz w:val="24"/>
          <w:szCs w:val="20"/>
          <w:lang w:eastAsia="ru-RU"/>
        </w:rPr>
        <w:t xml:space="preserve"> на сумму 46,7 млрд. рублей, или 109,3 процента к уровню 2016 года (97,6 процента в сопоставимых ценах).</w:t>
      </w:r>
      <w:r w:rsidRPr="00C36EEA">
        <w:t xml:space="preserve"> </w:t>
      </w:r>
    </w:p>
    <w:p w:rsidR="00B5633D" w:rsidRPr="00C36EE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36EEA">
        <w:rPr>
          <w:rFonts w:ascii="Times New Roman" w:eastAsia="Times New Roman" w:hAnsi="Times New Roman" w:cs="Times New Roman"/>
          <w:sz w:val="24"/>
          <w:szCs w:val="20"/>
          <w:lang w:eastAsia="ru-RU"/>
        </w:rPr>
        <w:t xml:space="preserve">Показатели развития торговли и сферы услуг ниже запланированных на 2017 год программой социально-экономического развития Амурской области на 2013-2017 годы, утвержденной Законом Амурской области от 13.11.2013 № 277-ОЗ: оборот розничной торговли – на 45,9 млрд. рублей, или 22,1 процента; оборот общественного питания – на </w:t>
      </w:r>
      <w:r w:rsidR="009F6A70">
        <w:rPr>
          <w:rFonts w:ascii="Times New Roman" w:eastAsia="Times New Roman" w:hAnsi="Times New Roman" w:cs="Times New Roman"/>
          <w:sz w:val="24"/>
          <w:szCs w:val="20"/>
          <w:lang w:eastAsia="ru-RU"/>
        </w:rPr>
        <w:br/>
      </w:r>
      <w:r w:rsidRPr="00C36EEA">
        <w:rPr>
          <w:rFonts w:ascii="Times New Roman" w:eastAsia="Times New Roman" w:hAnsi="Times New Roman" w:cs="Times New Roman"/>
          <w:sz w:val="24"/>
          <w:szCs w:val="20"/>
          <w:lang w:eastAsia="ru-RU"/>
        </w:rPr>
        <w:t>0,2 млрд. рублей, или 3,3 процента, объем платных услуг населению – на 24,3 млрд. рублей, или 34,2 процента.</w:t>
      </w:r>
    </w:p>
    <w:p w:rsidR="00B5633D" w:rsidRPr="00C36EEA"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6EEA">
        <w:rPr>
          <w:rFonts w:ascii="Times New Roman" w:eastAsia="Times New Roman" w:hAnsi="Times New Roman" w:cs="Times New Roman"/>
          <w:sz w:val="24"/>
          <w:szCs w:val="24"/>
          <w:lang w:eastAsia="ru-RU"/>
        </w:rPr>
        <w:t xml:space="preserve">Данные об индексах цен приведены на рисунке </w:t>
      </w:r>
      <w:r>
        <w:rPr>
          <w:rFonts w:ascii="Times New Roman" w:eastAsia="Times New Roman" w:hAnsi="Times New Roman" w:cs="Times New Roman"/>
          <w:sz w:val="24"/>
          <w:szCs w:val="24"/>
          <w:lang w:eastAsia="ru-RU"/>
        </w:rPr>
        <w:t>10</w:t>
      </w:r>
      <w:r w:rsidRPr="00C36EEA">
        <w:rPr>
          <w:rFonts w:ascii="Times New Roman" w:eastAsia="Times New Roman" w:hAnsi="Times New Roman" w:cs="Times New Roman"/>
          <w:sz w:val="24"/>
          <w:szCs w:val="24"/>
          <w:lang w:eastAsia="ru-RU"/>
        </w:rPr>
        <w:t>.</w:t>
      </w:r>
    </w:p>
    <w:p w:rsidR="00B5633D" w:rsidRPr="004D1C64"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3CB9">
        <w:rPr>
          <w:noProof/>
          <w:color w:val="FF0000"/>
          <w:lang w:eastAsia="ru-RU"/>
        </w:rPr>
        <w:drawing>
          <wp:inline distT="0" distB="0" distL="0" distR="0" wp14:anchorId="285DD508" wp14:editId="32C25F6F">
            <wp:extent cx="6096000" cy="30099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33D" w:rsidRPr="00431053"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053">
        <w:rPr>
          <w:rFonts w:ascii="Times New Roman" w:eastAsia="Times New Roman" w:hAnsi="Times New Roman" w:cs="Times New Roman"/>
          <w:b/>
          <w:sz w:val="24"/>
          <w:szCs w:val="24"/>
          <w:lang w:eastAsia="ru-RU"/>
        </w:rPr>
        <w:t xml:space="preserve">Рис. </w:t>
      </w:r>
      <w:r>
        <w:rPr>
          <w:rFonts w:ascii="Times New Roman" w:eastAsia="Times New Roman" w:hAnsi="Times New Roman" w:cs="Times New Roman"/>
          <w:b/>
          <w:sz w:val="24"/>
          <w:szCs w:val="24"/>
          <w:lang w:eastAsia="ru-RU"/>
        </w:rPr>
        <w:t>10</w:t>
      </w:r>
      <w:r w:rsidRPr="00431053">
        <w:rPr>
          <w:rFonts w:ascii="Times New Roman" w:eastAsia="Times New Roman" w:hAnsi="Times New Roman" w:cs="Times New Roman"/>
          <w:b/>
          <w:sz w:val="24"/>
          <w:szCs w:val="24"/>
          <w:lang w:eastAsia="ru-RU"/>
        </w:rPr>
        <w:t xml:space="preserve"> – Индекс цен и тарифов в декабре 2016 и 2017 годов, </w:t>
      </w:r>
      <w:r w:rsidRPr="00431053">
        <w:rPr>
          <w:rFonts w:ascii="Times New Roman" w:eastAsia="Times New Roman" w:hAnsi="Times New Roman" w:cs="Times New Roman"/>
          <w:b/>
          <w:sz w:val="24"/>
          <w:szCs w:val="24"/>
          <w:lang w:eastAsia="ru-RU"/>
        </w:rPr>
        <w:br/>
        <w:t>в процентах к декабрю предыдущего года</w:t>
      </w:r>
    </w:p>
    <w:p w:rsidR="00B5633D"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C64" w:rsidRPr="00431053" w:rsidRDefault="004D1C64"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5633D" w:rsidRPr="00431053" w:rsidRDefault="00B5633D" w:rsidP="004D1C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0"/>
          <w:lang w:eastAsia="ru-RU"/>
        </w:rPr>
      </w:pPr>
      <w:r w:rsidRPr="00431053">
        <w:rPr>
          <w:rFonts w:ascii="Times New Roman" w:eastAsia="Times New Roman" w:hAnsi="Times New Roman" w:cs="Times New Roman"/>
          <w:sz w:val="24"/>
          <w:szCs w:val="20"/>
          <w:lang w:eastAsia="ru-RU"/>
        </w:rPr>
        <w:t>В 2017 году прирост потребительских цен опережал прирост цен производителей промышленных товаров на 2,</w:t>
      </w:r>
      <w:r>
        <w:rPr>
          <w:rFonts w:ascii="Times New Roman" w:eastAsia="Times New Roman" w:hAnsi="Times New Roman" w:cs="Times New Roman"/>
          <w:sz w:val="24"/>
          <w:szCs w:val="20"/>
          <w:lang w:eastAsia="ru-RU"/>
        </w:rPr>
        <w:t>8</w:t>
      </w:r>
      <w:r w:rsidRPr="00431053">
        <w:rPr>
          <w:rFonts w:ascii="Times New Roman" w:eastAsia="Times New Roman" w:hAnsi="Times New Roman" w:cs="Times New Roman"/>
          <w:sz w:val="24"/>
          <w:szCs w:val="20"/>
          <w:lang w:eastAsia="ru-RU"/>
        </w:rPr>
        <w:t xml:space="preserve"> процентного пункта. </w:t>
      </w:r>
    </w:p>
    <w:p w:rsidR="00B5633D" w:rsidRPr="00431053" w:rsidRDefault="00B5633D" w:rsidP="004D1C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0"/>
          <w:lang w:eastAsia="ru-RU"/>
        </w:rPr>
      </w:pPr>
      <w:r w:rsidRPr="00431053">
        <w:rPr>
          <w:rFonts w:ascii="Times New Roman" w:eastAsia="Times New Roman" w:hAnsi="Times New Roman" w:cs="Times New Roman"/>
          <w:i/>
          <w:sz w:val="24"/>
          <w:szCs w:val="20"/>
          <w:lang w:eastAsia="ru-RU"/>
        </w:rPr>
        <w:t>Индекс потребительских цен на товары и услуги</w:t>
      </w:r>
      <w:r w:rsidRPr="00431053">
        <w:rPr>
          <w:rFonts w:ascii="Times New Roman" w:eastAsia="Times New Roman" w:hAnsi="Times New Roman" w:cs="Times New Roman"/>
          <w:sz w:val="24"/>
          <w:szCs w:val="20"/>
          <w:lang w:eastAsia="ru-RU"/>
        </w:rPr>
        <w:t xml:space="preserve"> за 2017 год составил 101,7 процента </w:t>
      </w:r>
      <w:r w:rsidRPr="00431053">
        <w:rPr>
          <w:rFonts w:ascii="Times New Roman" w:eastAsia="Times New Roman" w:hAnsi="Times New Roman" w:cs="Times New Roman"/>
          <w:sz w:val="24"/>
          <w:szCs w:val="24"/>
          <w:lang w:eastAsia="ru-RU"/>
        </w:rPr>
        <w:t>(за 201</w:t>
      </w:r>
      <w:r w:rsidR="00E85DF5">
        <w:rPr>
          <w:rFonts w:ascii="Times New Roman" w:eastAsia="Times New Roman" w:hAnsi="Times New Roman" w:cs="Times New Roman"/>
          <w:sz w:val="24"/>
          <w:szCs w:val="24"/>
          <w:lang w:eastAsia="ru-RU"/>
        </w:rPr>
        <w:t>6</w:t>
      </w:r>
      <w:r w:rsidRPr="00431053">
        <w:rPr>
          <w:rFonts w:ascii="Times New Roman" w:eastAsia="Times New Roman" w:hAnsi="Times New Roman" w:cs="Times New Roman"/>
          <w:sz w:val="24"/>
          <w:szCs w:val="24"/>
          <w:lang w:eastAsia="ru-RU"/>
        </w:rPr>
        <w:t xml:space="preserve"> год – 105,0 процентов)</w:t>
      </w:r>
      <w:r w:rsidRPr="00431053">
        <w:rPr>
          <w:rFonts w:ascii="Times New Roman" w:eastAsia="Times New Roman" w:hAnsi="Times New Roman" w:cs="Times New Roman"/>
          <w:sz w:val="24"/>
          <w:szCs w:val="20"/>
          <w:lang w:eastAsia="ru-RU"/>
        </w:rPr>
        <w:t xml:space="preserve">, в том числе на </w:t>
      </w:r>
      <w:r w:rsidR="00E85DF5">
        <w:rPr>
          <w:rFonts w:ascii="Times New Roman" w:eastAsia="Times New Roman" w:hAnsi="Times New Roman" w:cs="Times New Roman"/>
          <w:sz w:val="24"/>
          <w:szCs w:val="20"/>
          <w:lang w:eastAsia="ru-RU"/>
        </w:rPr>
        <w:t>не</w:t>
      </w:r>
      <w:r w:rsidRPr="00431053">
        <w:rPr>
          <w:rFonts w:ascii="Times New Roman" w:eastAsia="Times New Roman" w:hAnsi="Times New Roman" w:cs="Times New Roman"/>
          <w:sz w:val="24"/>
          <w:szCs w:val="20"/>
          <w:lang w:eastAsia="ru-RU"/>
        </w:rPr>
        <w:t xml:space="preserve">продовольственные товары – </w:t>
      </w:r>
      <w:r w:rsidR="00E85DF5">
        <w:rPr>
          <w:rFonts w:ascii="Times New Roman" w:eastAsia="Times New Roman" w:hAnsi="Times New Roman" w:cs="Times New Roman"/>
          <w:sz w:val="24"/>
          <w:szCs w:val="20"/>
          <w:lang w:eastAsia="ru-RU"/>
        </w:rPr>
        <w:br/>
      </w:r>
      <w:r w:rsidRPr="00431053">
        <w:rPr>
          <w:rFonts w:ascii="Times New Roman" w:eastAsia="Times New Roman" w:hAnsi="Times New Roman" w:cs="Times New Roman"/>
          <w:sz w:val="24"/>
          <w:szCs w:val="20"/>
          <w:lang w:eastAsia="ru-RU"/>
        </w:rPr>
        <w:t>102,8 процента (ниже уровня декабря 2016 года к декабрю 2015 года на 4,3 процентного пункта), услуги – 102,9 процента (ниже уровня декабря 2016 года к декабрю 2015 года на 0,3 процентного пункта), продовольственные товары – 99,8 процента (ниже уровня декабря 2016 года к декабрю 2015 года на 3,9 процентного пункта).</w:t>
      </w:r>
    </w:p>
    <w:p w:rsidR="00B5633D" w:rsidRPr="00431053" w:rsidRDefault="00B5633D" w:rsidP="004D1C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31053">
        <w:rPr>
          <w:rFonts w:ascii="Times New Roman" w:eastAsia="Times New Roman" w:hAnsi="Times New Roman" w:cs="Times New Roman"/>
          <w:sz w:val="24"/>
          <w:szCs w:val="24"/>
          <w:lang w:eastAsia="ru-RU"/>
        </w:rPr>
        <w:t>Рост потребительских цен по России за 2017 год составил 10</w:t>
      </w:r>
      <w:r>
        <w:rPr>
          <w:rFonts w:ascii="Times New Roman" w:eastAsia="Times New Roman" w:hAnsi="Times New Roman" w:cs="Times New Roman"/>
          <w:sz w:val="24"/>
          <w:szCs w:val="24"/>
          <w:lang w:eastAsia="ru-RU"/>
        </w:rPr>
        <w:t>2</w:t>
      </w:r>
      <w:r w:rsidRPr="004310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31053">
        <w:rPr>
          <w:rFonts w:ascii="Times New Roman" w:eastAsia="Times New Roman" w:hAnsi="Times New Roman" w:cs="Times New Roman"/>
          <w:sz w:val="24"/>
          <w:szCs w:val="24"/>
          <w:lang w:eastAsia="ru-RU"/>
        </w:rPr>
        <w:t xml:space="preserve"> процента, что ниже уровня 2016 года </w:t>
      </w:r>
      <w:r w:rsidRPr="00D11C03">
        <w:rPr>
          <w:rFonts w:ascii="Times New Roman" w:eastAsia="Times New Roman" w:hAnsi="Times New Roman" w:cs="Times New Roman"/>
          <w:sz w:val="24"/>
          <w:szCs w:val="24"/>
          <w:lang w:eastAsia="ru-RU"/>
        </w:rPr>
        <w:t xml:space="preserve">на 2,9 </w:t>
      </w:r>
      <w:r w:rsidR="00E85DF5">
        <w:rPr>
          <w:rFonts w:ascii="Times New Roman" w:eastAsia="Times New Roman" w:hAnsi="Times New Roman" w:cs="Times New Roman"/>
          <w:sz w:val="24"/>
          <w:szCs w:val="24"/>
          <w:lang w:eastAsia="ru-RU"/>
        </w:rPr>
        <w:t>процентного пункта.</w:t>
      </w:r>
    </w:p>
    <w:p w:rsidR="00B5633D" w:rsidRPr="001D25C8" w:rsidRDefault="00B5633D" w:rsidP="004D1C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0"/>
          <w:lang w:eastAsia="ru-RU"/>
        </w:rPr>
      </w:pPr>
      <w:r w:rsidRPr="001D25C8">
        <w:rPr>
          <w:rFonts w:ascii="Times New Roman" w:eastAsia="Times New Roman" w:hAnsi="Times New Roman" w:cs="Times New Roman"/>
          <w:sz w:val="24"/>
          <w:szCs w:val="20"/>
          <w:lang w:eastAsia="ru-RU"/>
        </w:rPr>
        <w:t xml:space="preserve">Фактически сложившийся индекс потребительских цен ниже ожидаемого в соответствии с прогнозом социально-экономического развития Амурской области на </w:t>
      </w:r>
      <w:r w:rsidR="009F6A70">
        <w:rPr>
          <w:rFonts w:ascii="Times New Roman" w:eastAsia="Times New Roman" w:hAnsi="Times New Roman" w:cs="Times New Roman"/>
          <w:sz w:val="24"/>
          <w:szCs w:val="20"/>
          <w:lang w:eastAsia="ru-RU"/>
        </w:rPr>
        <w:br/>
      </w:r>
      <w:r w:rsidRPr="001D25C8">
        <w:rPr>
          <w:rFonts w:ascii="Times New Roman" w:eastAsia="Times New Roman" w:hAnsi="Times New Roman" w:cs="Times New Roman"/>
          <w:sz w:val="24"/>
          <w:szCs w:val="20"/>
          <w:lang w:eastAsia="ru-RU"/>
        </w:rPr>
        <w:t>2017 год, на 3,8 процента (прогноз на 2017 год – 105,5 процента).</w:t>
      </w:r>
    </w:p>
    <w:p w:rsidR="00B5633D" w:rsidRPr="001D25C8" w:rsidRDefault="00B5633D" w:rsidP="004D1C6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0"/>
          <w:lang w:eastAsia="ru-RU"/>
        </w:rPr>
      </w:pPr>
      <w:r w:rsidRPr="001D25C8">
        <w:rPr>
          <w:rFonts w:ascii="Times New Roman" w:eastAsia="Times New Roman" w:hAnsi="Times New Roman" w:cs="Times New Roman"/>
          <w:sz w:val="24"/>
          <w:szCs w:val="20"/>
          <w:lang w:eastAsia="ru-RU"/>
        </w:rPr>
        <w:t>Динамика индекса потребительских цен приведена на рисунке 1</w:t>
      </w:r>
      <w:r>
        <w:rPr>
          <w:rFonts w:ascii="Times New Roman" w:eastAsia="Times New Roman" w:hAnsi="Times New Roman" w:cs="Times New Roman"/>
          <w:sz w:val="24"/>
          <w:szCs w:val="20"/>
          <w:lang w:eastAsia="ru-RU"/>
        </w:rPr>
        <w:t>1</w:t>
      </w:r>
      <w:r w:rsidRPr="001D25C8">
        <w:rPr>
          <w:rFonts w:ascii="Times New Roman" w:eastAsia="Times New Roman" w:hAnsi="Times New Roman" w:cs="Times New Roman"/>
          <w:sz w:val="24"/>
          <w:szCs w:val="20"/>
          <w:lang w:eastAsia="ru-RU"/>
        </w:rPr>
        <w:t>.</w:t>
      </w:r>
    </w:p>
    <w:p w:rsidR="00B5633D" w:rsidRPr="004D1C64" w:rsidRDefault="00B5633D" w:rsidP="00B5633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33CB9">
        <w:rPr>
          <w:noProof/>
          <w:color w:val="FF0000"/>
          <w:lang w:eastAsia="ru-RU"/>
        </w:rPr>
        <w:lastRenderedPageBreak/>
        <mc:AlternateContent>
          <mc:Choice Requires="wps">
            <w:drawing>
              <wp:anchor distT="0" distB="0" distL="114300" distR="114300" simplePos="0" relativeHeight="251661312" behindDoc="0" locked="0" layoutInCell="1" allowOverlap="1" wp14:anchorId="65D402C2" wp14:editId="117AB9BA">
                <wp:simplePos x="0" y="0"/>
                <wp:positionH relativeFrom="column">
                  <wp:posOffset>4252595</wp:posOffset>
                </wp:positionH>
                <wp:positionV relativeFrom="paragraph">
                  <wp:posOffset>2633345</wp:posOffset>
                </wp:positionV>
                <wp:extent cx="495300" cy="285750"/>
                <wp:effectExtent l="0" t="0" r="0" b="0"/>
                <wp:wrapNone/>
                <wp:docPr id="4" name="Прямоугольник 1"/>
                <wp:cNvGraphicFramePr/>
                <a:graphic xmlns:a="http://schemas.openxmlformats.org/drawingml/2006/main">
                  <a:graphicData uri="http://schemas.microsoft.com/office/word/2010/wordprocessingShape">
                    <wps:wsp>
                      <wps:cNvSpPr/>
                      <wps:spPr>
                        <a:xfrm>
                          <a:off x="0" y="0"/>
                          <a:ext cx="495300" cy="285750"/>
                        </a:xfrm>
                        <a:prstGeom prst="rect">
                          <a:avLst/>
                        </a:prstGeom>
                        <a:noFill/>
                        <a:ln w="25400" cap="flat" cmpd="sng" algn="ctr">
                          <a:noFill/>
                          <a:prstDash val="solid"/>
                        </a:ln>
                        <a:effectLst/>
                      </wps:spPr>
                      <wps:txbx>
                        <w:txbxContent>
                          <w:p w:rsidR="005B2272" w:rsidRDefault="005B2272" w:rsidP="00B5633D">
                            <w:pPr>
                              <w:pStyle w:val="aff"/>
                              <w:spacing w:before="0" w:beforeAutospacing="0" w:after="0" w:afterAutospacing="0"/>
                            </w:pPr>
                            <w:r>
                              <w:rPr>
                                <w:rFonts w:eastAsia="+mn-ea"/>
                                <w:color w:val="000000"/>
                                <w:sz w:val="22"/>
                                <w:szCs w:val="22"/>
                              </w:rPr>
                              <w:t>2017</w:t>
                            </w:r>
                          </w:p>
                        </w:txbxContent>
                      </wps:txbx>
                      <wps:bodyPr vertOverflow="clip"/>
                    </wps:wsp>
                  </a:graphicData>
                </a:graphic>
              </wp:anchor>
            </w:drawing>
          </mc:Choice>
          <mc:Fallback>
            <w:pict>
              <v:rect id="Прямоугольник 1" o:spid="_x0000_s1026" style="position:absolute;left:0;text-align:left;margin-left:334.85pt;margin-top:207.35pt;width:39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" filled="f" stroked="f" strokeweight="2pt">
                <v:textbox>
                  <w:txbxContent>
                    <w:p w:rsidR="005B2272" w:rsidRDefault="005B2272" w:rsidP="00B5633D">
                      <w:pPr>
                        <w:pStyle w:val="aff"/>
                        <w:spacing w:before="0" w:beforeAutospacing="0" w:after="0" w:afterAutospacing="0"/>
                      </w:pPr>
                      <w:r>
                        <w:rPr>
                          <w:rFonts w:eastAsia="+mn-ea"/>
                          <w:color w:val="000000"/>
                          <w:sz w:val="22"/>
                          <w:szCs w:val="22"/>
                        </w:rPr>
                        <w:t>2017</w:t>
                      </w:r>
                    </w:p>
                  </w:txbxContent>
                </v:textbox>
              </v:rect>
            </w:pict>
          </mc:Fallback>
        </mc:AlternateContent>
      </w:r>
      <w:r w:rsidRPr="00C33CB9">
        <w:rPr>
          <w:rFonts w:ascii="Times New Roman" w:eastAsia="Times New Roman" w:hAnsi="Times New Roman" w:cs="Times New Roman"/>
          <w:noProof/>
          <w:color w:val="FF0000"/>
          <w:sz w:val="24"/>
          <w:szCs w:val="20"/>
          <w:lang w:eastAsia="ru-RU"/>
        </w:rPr>
        <w:drawing>
          <wp:inline distT="0" distB="0" distL="0" distR="0" wp14:anchorId="2C33C19B" wp14:editId="58971127">
            <wp:extent cx="6153150" cy="32385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633D" w:rsidRPr="001D25C8" w:rsidRDefault="00B5633D" w:rsidP="00B5633D">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25C8">
        <w:rPr>
          <w:rFonts w:ascii="Times New Roman" w:eastAsia="Times New Roman" w:hAnsi="Times New Roman" w:cs="Times New Roman"/>
          <w:b/>
          <w:sz w:val="24"/>
          <w:szCs w:val="20"/>
          <w:lang w:eastAsia="ru-RU"/>
        </w:rPr>
        <w:t>Рис. 1</w:t>
      </w:r>
      <w:r>
        <w:rPr>
          <w:rFonts w:ascii="Times New Roman" w:eastAsia="Times New Roman" w:hAnsi="Times New Roman" w:cs="Times New Roman"/>
          <w:b/>
          <w:sz w:val="24"/>
          <w:szCs w:val="20"/>
          <w:lang w:eastAsia="ru-RU"/>
        </w:rPr>
        <w:t>1</w:t>
      </w:r>
      <w:r w:rsidRPr="001D25C8">
        <w:rPr>
          <w:rFonts w:ascii="Times New Roman" w:eastAsia="Times New Roman" w:hAnsi="Times New Roman" w:cs="Times New Roman"/>
          <w:b/>
          <w:sz w:val="24"/>
          <w:szCs w:val="20"/>
          <w:lang w:eastAsia="ru-RU"/>
        </w:rPr>
        <w:t xml:space="preserve"> – Динамика индекса потребительских цен в 2016-2017 годах</w:t>
      </w:r>
    </w:p>
    <w:p w:rsidR="00B5633D" w:rsidRPr="000E47A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E47AF">
        <w:rPr>
          <w:rFonts w:ascii="Times New Roman" w:eastAsia="Times New Roman" w:hAnsi="Times New Roman" w:cs="Times New Roman"/>
          <w:sz w:val="24"/>
          <w:szCs w:val="20"/>
          <w:lang w:eastAsia="ru-RU"/>
        </w:rPr>
        <w:t xml:space="preserve">Как видно из рисунка 10, в течение 2017 года темп роста индекса потребительских цен постепенно снижался. Темп роста индекса потребительских цен по отношению к уровню соответствующего месяца предыдущего года на протяжении 2017 года снизился со </w:t>
      </w:r>
      <w:r w:rsidR="009F6A70">
        <w:rPr>
          <w:rFonts w:ascii="Times New Roman" w:eastAsia="Times New Roman" w:hAnsi="Times New Roman" w:cs="Times New Roman"/>
          <w:sz w:val="24"/>
          <w:szCs w:val="20"/>
          <w:lang w:eastAsia="ru-RU"/>
        </w:rPr>
        <w:br/>
      </w:r>
      <w:r w:rsidRPr="000E47AF">
        <w:rPr>
          <w:rFonts w:ascii="Times New Roman" w:eastAsia="Times New Roman" w:hAnsi="Times New Roman" w:cs="Times New Roman"/>
          <w:sz w:val="24"/>
          <w:szCs w:val="20"/>
          <w:lang w:eastAsia="ru-RU"/>
        </w:rPr>
        <w:t xml:space="preserve">104,7 процента в январе 2017 года по отношению к январю 2016 года до 101,7 процентов в декабре 2017 по отношению к декабрю 2016. </w:t>
      </w:r>
    </w:p>
    <w:p w:rsidR="00B5633D" w:rsidRPr="000E47A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E47AF">
        <w:rPr>
          <w:rFonts w:ascii="Times New Roman" w:eastAsia="Times New Roman" w:hAnsi="Times New Roman" w:cs="Times New Roman"/>
          <w:i/>
          <w:sz w:val="24"/>
          <w:szCs w:val="20"/>
          <w:lang w:eastAsia="ru-RU"/>
        </w:rPr>
        <w:t>Стоимость минимального набора продуктов питания</w:t>
      </w:r>
      <w:r w:rsidRPr="000E47AF">
        <w:rPr>
          <w:rFonts w:ascii="Times New Roman" w:eastAsia="Times New Roman" w:hAnsi="Times New Roman" w:cs="Times New Roman"/>
          <w:sz w:val="24"/>
          <w:szCs w:val="20"/>
          <w:lang w:eastAsia="ru-RU"/>
        </w:rPr>
        <w:t xml:space="preserve"> на конец 2017 года по Амурской области составила 4224,33 рубля и снизилась по сравнению с концом 2016 года на 73,53 рубля, или на 1,7 процента. </w:t>
      </w:r>
    </w:p>
    <w:p w:rsidR="00B5633D" w:rsidRPr="000E47A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E47AF">
        <w:rPr>
          <w:rFonts w:ascii="Times New Roman" w:eastAsia="Times New Roman" w:hAnsi="Times New Roman" w:cs="Times New Roman"/>
          <w:sz w:val="24"/>
          <w:szCs w:val="20"/>
          <w:lang w:eastAsia="ru-RU"/>
        </w:rPr>
        <w:t>Стоимость и изменение стоимости фиксированного набора товаров и услуг для межрегиональных сопоставлений покупательной способности населения в расчете на месяц по Амурской области в декабре 2017 года составила 15162,13 рубля, что выше уровня декабря 2016 года на 1,3 процента и выше уровня стоимости такого набора по Российской Федерации на 231,68 рубля или 1,6 процента.</w:t>
      </w:r>
    </w:p>
    <w:p w:rsidR="00B5633D" w:rsidRPr="000E47A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u w:val="single"/>
          <w:lang w:eastAsia="ru-RU"/>
        </w:rPr>
      </w:pPr>
      <w:r w:rsidRPr="000E47AF">
        <w:rPr>
          <w:rFonts w:ascii="Times New Roman" w:eastAsia="Times New Roman" w:hAnsi="Times New Roman" w:cs="Times New Roman"/>
          <w:sz w:val="24"/>
          <w:szCs w:val="20"/>
          <w:u w:val="single"/>
          <w:lang w:eastAsia="ru-RU"/>
        </w:rPr>
        <w:t>1.2.6. Финансовый результат хозяйствующих субъектов</w:t>
      </w:r>
    </w:p>
    <w:p w:rsidR="00B5633D" w:rsidRPr="000E47AF"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E47AF">
        <w:rPr>
          <w:rFonts w:ascii="Times New Roman" w:eastAsia="Times New Roman" w:hAnsi="Times New Roman" w:cs="Times New Roman"/>
          <w:sz w:val="24"/>
          <w:szCs w:val="20"/>
          <w:lang w:eastAsia="ru-RU"/>
        </w:rPr>
        <w:t>В 2017 году 156 организаций в Амурской области получили прибыль в размере 162</w:t>
      </w:r>
      <w:r>
        <w:rPr>
          <w:rFonts w:ascii="Times New Roman" w:eastAsia="Times New Roman" w:hAnsi="Times New Roman" w:cs="Times New Roman"/>
          <w:sz w:val="24"/>
          <w:szCs w:val="20"/>
          <w:lang w:eastAsia="ru-RU"/>
        </w:rPr>
        <w:t>6</w:t>
      </w:r>
      <w:r w:rsidRPr="000E47AF">
        <w:rPr>
          <w:rFonts w:ascii="Times New Roman" w:eastAsia="Times New Roman" w:hAnsi="Times New Roman" w:cs="Times New Roman"/>
          <w:sz w:val="24"/>
          <w:szCs w:val="20"/>
          <w:lang w:eastAsia="ru-RU"/>
        </w:rPr>
        <w:t xml:space="preserve">5,0 млн. рублей, 63 организаций - убыток на сумму 5891,0 млн. рублей. Сальдированный финансовый результат (прибыль минус убыток) организаций (без банков, страховых и бюджетных организаций) по оперативным данным за 2017 год составил </w:t>
      </w:r>
      <w:r w:rsidRPr="000E47AF">
        <w:rPr>
          <w:rFonts w:ascii="Times New Roman" w:eastAsia="Times New Roman" w:hAnsi="Times New Roman" w:cs="Times New Roman"/>
          <w:sz w:val="24"/>
          <w:szCs w:val="20"/>
          <w:lang w:eastAsia="ru-RU"/>
        </w:rPr>
        <w:br/>
        <w:t>10374,0 млн. рублей прибыли.</w:t>
      </w:r>
    </w:p>
    <w:p w:rsidR="00B5633D"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714245">
        <w:rPr>
          <w:rFonts w:ascii="Times New Roman" w:eastAsia="Times New Roman" w:hAnsi="Times New Roman" w:cs="Times New Roman"/>
          <w:sz w:val="24"/>
          <w:szCs w:val="20"/>
          <w:lang w:eastAsia="ru-RU"/>
        </w:rPr>
        <w:t xml:space="preserve">По укрупненным видам экономической деятельности сальдированный финансовый результат в 2017 году составил: «Добыча полезных ископаемых» - 8719,9 млн. рублей; </w:t>
      </w:r>
      <w:r w:rsidRPr="00492961">
        <w:rPr>
          <w:rFonts w:ascii="Times New Roman" w:eastAsia="Times New Roman" w:hAnsi="Times New Roman" w:cs="Times New Roman"/>
          <w:sz w:val="24"/>
          <w:szCs w:val="20"/>
          <w:lang w:eastAsia="ru-RU"/>
        </w:rPr>
        <w:t xml:space="preserve">«Сельское, лесное хозяйство, охота, рыболовство и рыбоводство» - 1200,8 млн. рублей; </w:t>
      </w:r>
      <w:r w:rsidRPr="00714245">
        <w:rPr>
          <w:rFonts w:ascii="Times New Roman" w:eastAsia="Times New Roman" w:hAnsi="Times New Roman" w:cs="Times New Roman"/>
          <w:sz w:val="24"/>
          <w:szCs w:val="20"/>
          <w:lang w:eastAsia="ru-RU"/>
        </w:rPr>
        <w:t xml:space="preserve">«Обеспечение электрической энергией, газом и паром; кондиционирование воздуха - </w:t>
      </w:r>
      <w:r w:rsidRPr="00714245">
        <w:rPr>
          <w:rFonts w:ascii="Times New Roman" w:eastAsia="Times New Roman" w:hAnsi="Times New Roman" w:cs="Times New Roman"/>
          <w:sz w:val="24"/>
          <w:szCs w:val="20"/>
          <w:lang w:eastAsia="ru-RU"/>
        </w:rPr>
        <w:br/>
        <w:t xml:space="preserve">1720,0 млн. рублей.  </w:t>
      </w:r>
    </w:p>
    <w:p w:rsidR="00B5633D" w:rsidRPr="00714245"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 виду деятельности «Строительство» в 2017 году сложилось отрицательное сальдо в сумме 1649,7 тыс. рублей.</w:t>
      </w:r>
    </w:p>
    <w:p w:rsidR="00B5633D" w:rsidRPr="009260A2"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260A2">
        <w:rPr>
          <w:rFonts w:ascii="Times New Roman" w:eastAsia="Times New Roman" w:hAnsi="Times New Roman" w:cs="Times New Roman"/>
          <w:sz w:val="24"/>
          <w:szCs w:val="20"/>
          <w:lang w:eastAsia="ru-RU"/>
        </w:rPr>
        <w:t>В 2017 году по сравнению с 2016 годом сократилась на 2,8 процентного пункта доля убыточных крупных и средних организаций области (без банков, страховых и бюджетных организаций). За 2017 год доля убыточных организаций составила 28,8 процента.</w:t>
      </w:r>
    </w:p>
    <w:p w:rsidR="00B5633D" w:rsidRPr="00AA6522"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260A2">
        <w:rPr>
          <w:rFonts w:ascii="Times New Roman" w:eastAsia="Times New Roman" w:hAnsi="Times New Roman" w:cs="Times New Roman"/>
          <w:sz w:val="24"/>
          <w:szCs w:val="20"/>
          <w:lang w:eastAsia="ru-RU"/>
        </w:rPr>
        <w:t>Суммарная задолженность по обязательствам (кредиторская, задолженность по кредитам банков и займам) организаций, по оперативным данным на 01.01.2018, составила 189,6 млрд. рублей, из нее просроченная – 7,6 млрд. рублей, или 4,0 процента</w:t>
      </w:r>
      <w:r w:rsidRPr="00AA6522">
        <w:rPr>
          <w:rFonts w:ascii="Times New Roman" w:eastAsia="Times New Roman" w:hAnsi="Times New Roman" w:cs="Times New Roman"/>
          <w:sz w:val="24"/>
          <w:szCs w:val="20"/>
          <w:lang w:eastAsia="ru-RU"/>
        </w:rPr>
        <w:t>.</w:t>
      </w:r>
    </w:p>
    <w:p w:rsidR="00B5633D" w:rsidRPr="009260A2" w:rsidRDefault="00B5633D" w:rsidP="00B563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 состоянию на конец</w:t>
      </w:r>
      <w:r w:rsidRPr="009260A2">
        <w:rPr>
          <w:rFonts w:ascii="Times New Roman" w:eastAsia="Times New Roman" w:hAnsi="Times New Roman" w:cs="Times New Roman"/>
          <w:sz w:val="24"/>
          <w:szCs w:val="20"/>
          <w:lang w:eastAsia="ru-RU"/>
        </w:rPr>
        <w:t xml:space="preserve"> 2017 год</w:t>
      </w:r>
      <w:r>
        <w:rPr>
          <w:rFonts w:ascii="Times New Roman" w:eastAsia="Times New Roman" w:hAnsi="Times New Roman" w:cs="Times New Roman"/>
          <w:sz w:val="24"/>
          <w:szCs w:val="20"/>
          <w:lang w:eastAsia="ru-RU"/>
        </w:rPr>
        <w:t>а</w:t>
      </w:r>
      <w:r w:rsidRPr="009260A2">
        <w:rPr>
          <w:rFonts w:ascii="Times New Roman" w:eastAsia="Times New Roman" w:hAnsi="Times New Roman" w:cs="Times New Roman"/>
          <w:sz w:val="24"/>
          <w:szCs w:val="20"/>
          <w:lang w:eastAsia="ru-RU"/>
        </w:rPr>
        <w:t xml:space="preserve"> кредиторская задолженность</w:t>
      </w:r>
      <w:r>
        <w:rPr>
          <w:rFonts w:ascii="Times New Roman" w:eastAsia="Times New Roman" w:hAnsi="Times New Roman" w:cs="Times New Roman"/>
          <w:sz w:val="24"/>
          <w:szCs w:val="20"/>
          <w:lang w:eastAsia="ru-RU"/>
        </w:rPr>
        <w:t xml:space="preserve"> организаций составила</w:t>
      </w:r>
      <w:r w:rsidRPr="009260A2">
        <w:t xml:space="preserve"> </w:t>
      </w:r>
      <w:r w:rsidRPr="009260A2">
        <w:rPr>
          <w:rFonts w:ascii="Times New Roman" w:eastAsia="Times New Roman" w:hAnsi="Times New Roman" w:cs="Times New Roman"/>
          <w:sz w:val="24"/>
          <w:szCs w:val="20"/>
          <w:lang w:eastAsia="ru-RU"/>
        </w:rPr>
        <w:t>132589</w:t>
      </w:r>
      <w:r>
        <w:rPr>
          <w:rFonts w:ascii="Times New Roman" w:eastAsia="Times New Roman" w:hAnsi="Times New Roman" w:cs="Times New Roman"/>
          <w:sz w:val="24"/>
          <w:szCs w:val="20"/>
          <w:lang w:eastAsia="ru-RU"/>
        </w:rPr>
        <w:t>,4 млн. рублей и</w:t>
      </w:r>
      <w:r w:rsidRPr="009260A2">
        <w:rPr>
          <w:rFonts w:ascii="Times New Roman" w:eastAsia="Times New Roman" w:hAnsi="Times New Roman" w:cs="Times New Roman"/>
          <w:sz w:val="24"/>
          <w:szCs w:val="20"/>
          <w:lang w:eastAsia="ru-RU"/>
        </w:rPr>
        <w:t xml:space="preserve"> увеличилась</w:t>
      </w:r>
      <w:r>
        <w:rPr>
          <w:rFonts w:ascii="Times New Roman" w:eastAsia="Times New Roman" w:hAnsi="Times New Roman" w:cs="Times New Roman"/>
          <w:sz w:val="24"/>
          <w:szCs w:val="20"/>
          <w:lang w:eastAsia="ru-RU"/>
        </w:rPr>
        <w:t xml:space="preserve"> по сравнению с 2016 годом </w:t>
      </w:r>
      <w:r w:rsidRPr="009260A2">
        <w:rPr>
          <w:rFonts w:ascii="Times New Roman" w:eastAsia="Times New Roman" w:hAnsi="Times New Roman" w:cs="Times New Roman"/>
          <w:sz w:val="24"/>
          <w:szCs w:val="20"/>
          <w:lang w:eastAsia="ru-RU"/>
        </w:rPr>
        <w:t xml:space="preserve">в 1,7 раза, задолженность по </w:t>
      </w:r>
      <w:r w:rsidRPr="009260A2">
        <w:rPr>
          <w:rFonts w:ascii="Times New Roman" w:eastAsia="Times New Roman" w:hAnsi="Times New Roman" w:cs="Times New Roman"/>
          <w:sz w:val="24"/>
          <w:szCs w:val="20"/>
          <w:lang w:eastAsia="ru-RU"/>
        </w:rPr>
        <w:lastRenderedPageBreak/>
        <w:t>кредитам и займам – снизилась на 27,4 процента.</w:t>
      </w:r>
      <w:r>
        <w:rPr>
          <w:rFonts w:ascii="Times New Roman" w:eastAsia="Times New Roman" w:hAnsi="Times New Roman" w:cs="Times New Roman"/>
          <w:sz w:val="24"/>
          <w:szCs w:val="20"/>
          <w:lang w:eastAsia="ru-RU"/>
        </w:rPr>
        <w:t xml:space="preserve"> Наибольшая сумма кредиторской задолженности сложилась в организациях, осуществляющих вид деятельности «Строительство» - 62368,</w:t>
      </w:r>
      <w:r w:rsidRPr="009260A2">
        <w:rPr>
          <w:rFonts w:ascii="Times New Roman" w:eastAsia="Times New Roman" w:hAnsi="Times New Roman" w:cs="Times New Roman"/>
          <w:sz w:val="24"/>
          <w:szCs w:val="20"/>
          <w:lang w:eastAsia="ru-RU"/>
        </w:rPr>
        <w:t>0</w:t>
      </w:r>
      <w:r>
        <w:rPr>
          <w:rFonts w:ascii="Times New Roman" w:eastAsia="Times New Roman" w:hAnsi="Times New Roman" w:cs="Times New Roman"/>
          <w:sz w:val="24"/>
          <w:szCs w:val="20"/>
          <w:lang w:eastAsia="ru-RU"/>
        </w:rPr>
        <w:t xml:space="preserve"> млн. рублей (47,0 процентов от общей суммы кредиторской задолженности), из нее просроченная задолженность – 3753,3 млн. рублей, или 6,0 процентов от суммы кредиторской задолженности по данному виду деятельности и 67,1 процента от суммы просроченной кредиторской задолженности по полному кругу организаций. </w:t>
      </w:r>
    </w:p>
    <w:p w:rsidR="00B5633D" w:rsidRPr="009260A2"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260A2">
        <w:rPr>
          <w:rFonts w:ascii="Times New Roman" w:eastAsia="Times New Roman" w:hAnsi="Times New Roman" w:cs="Times New Roman"/>
          <w:sz w:val="24"/>
          <w:szCs w:val="24"/>
          <w:u w:val="single"/>
          <w:lang w:eastAsia="ru-RU"/>
        </w:rPr>
        <w:t>1.2.7. Кредитование физических лиц</w:t>
      </w:r>
    </w:p>
    <w:p w:rsidR="00B5633D" w:rsidRPr="00487271"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271">
        <w:rPr>
          <w:rFonts w:ascii="Times New Roman" w:eastAsia="Times New Roman" w:hAnsi="Times New Roman" w:cs="Times New Roman"/>
          <w:i/>
          <w:sz w:val="24"/>
          <w:szCs w:val="24"/>
          <w:lang w:eastAsia="ru-RU"/>
        </w:rPr>
        <w:t>Объем кредитов, предоставленных в рублях в 2017 году (по состоянию на 01.01.2018)</w:t>
      </w:r>
      <w:r w:rsidRPr="00487271">
        <w:rPr>
          <w:rFonts w:ascii="Times New Roman" w:eastAsia="Times New Roman" w:hAnsi="Times New Roman" w:cs="Times New Roman"/>
          <w:sz w:val="24"/>
          <w:szCs w:val="24"/>
          <w:lang w:eastAsia="ru-RU"/>
        </w:rPr>
        <w:t xml:space="preserve">, составил 95564,4 млн. рублей, что составляет 99,9 процента от всего объема выданных в 2017 году кредитов и выше уровня 2016 года на 23,6 процента. </w:t>
      </w:r>
    </w:p>
    <w:p w:rsidR="00B5633D" w:rsidRPr="00487271"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7271">
        <w:rPr>
          <w:rFonts w:ascii="Times New Roman" w:eastAsia="Times New Roman" w:hAnsi="Times New Roman" w:cs="Times New Roman"/>
          <w:sz w:val="24"/>
          <w:szCs w:val="24"/>
          <w:lang w:eastAsia="ru-RU"/>
        </w:rPr>
        <w:t>Из всего объема предоставленных кредитов в валюте Российской Федерации физическим лицам предоставлено 49183,7 млн. рублей, или 51,5 процента объема кредитования в рублях. Жилищные кредиты в общем объеме выданных рублевых кредитов физическим лицам составляют 19,5 процента.</w:t>
      </w:r>
    </w:p>
    <w:p w:rsidR="00B5633D" w:rsidRPr="00817997"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7997">
        <w:rPr>
          <w:rFonts w:ascii="Times New Roman" w:eastAsia="Times New Roman" w:hAnsi="Times New Roman" w:cs="Times New Roman"/>
          <w:sz w:val="24"/>
          <w:szCs w:val="24"/>
          <w:lang w:eastAsia="ru-RU"/>
        </w:rPr>
        <w:t xml:space="preserve">В общем объеме рублевых жилищных кредитов </w:t>
      </w:r>
      <w:r w:rsidRPr="00817997">
        <w:rPr>
          <w:rFonts w:ascii="Times New Roman" w:eastAsia="Times New Roman" w:hAnsi="Times New Roman" w:cs="Times New Roman"/>
          <w:i/>
          <w:sz w:val="24"/>
          <w:szCs w:val="24"/>
          <w:lang w:eastAsia="ru-RU"/>
        </w:rPr>
        <w:t>доля ипотечных жилищных кредитов</w:t>
      </w:r>
      <w:r w:rsidRPr="00817997">
        <w:rPr>
          <w:rFonts w:ascii="Times New Roman" w:eastAsia="Times New Roman" w:hAnsi="Times New Roman" w:cs="Times New Roman"/>
          <w:sz w:val="24"/>
          <w:szCs w:val="24"/>
          <w:lang w:eastAsia="ru-RU"/>
        </w:rPr>
        <w:t xml:space="preserve"> составила 99,9 процента. Динамика ипотечного кредитования в российских рублях в Амурской области приведена на рисунке 1</w:t>
      </w:r>
      <w:r>
        <w:rPr>
          <w:rFonts w:ascii="Times New Roman" w:eastAsia="Times New Roman" w:hAnsi="Times New Roman" w:cs="Times New Roman"/>
          <w:sz w:val="24"/>
          <w:szCs w:val="24"/>
          <w:lang w:eastAsia="ru-RU"/>
        </w:rPr>
        <w:t>2</w:t>
      </w:r>
      <w:r w:rsidRPr="00817997">
        <w:rPr>
          <w:rFonts w:ascii="Times New Roman" w:eastAsia="Times New Roman" w:hAnsi="Times New Roman" w:cs="Times New Roman"/>
          <w:sz w:val="24"/>
          <w:szCs w:val="24"/>
          <w:lang w:eastAsia="ru-RU"/>
        </w:rPr>
        <w:t>.</w:t>
      </w:r>
    </w:p>
    <w:p w:rsidR="00B5633D" w:rsidRPr="00817997" w:rsidRDefault="00B5633D" w:rsidP="00B5633D">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B5633D" w:rsidRPr="00AA6522" w:rsidRDefault="00B5633D" w:rsidP="00B5633D">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3CB9">
        <w:rPr>
          <w:rFonts w:ascii="Times New Roman" w:eastAsia="Times New Roman" w:hAnsi="Times New Roman" w:cs="Times New Roman"/>
          <w:b/>
          <w:noProof/>
          <w:color w:val="FF0000"/>
          <w:sz w:val="24"/>
          <w:szCs w:val="24"/>
          <w:lang w:eastAsia="ru-RU"/>
        </w:rPr>
        <w:drawing>
          <wp:inline distT="0" distB="0" distL="0" distR="0" wp14:anchorId="3679E7B3" wp14:editId="7DBA9265">
            <wp:extent cx="5905500" cy="2905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633D" w:rsidRPr="00817997" w:rsidRDefault="00B5633D" w:rsidP="00B5633D">
      <w:pPr>
        <w:widowControl w:val="0"/>
        <w:tabs>
          <w:tab w:val="left" w:pos="851"/>
          <w:tab w:val="left" w:pos="3544"/>
          <w:tab w:val="left" w:pos="4536"/>
          <w:tab w:val="left" w:pos="609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7997">
        <w:rPr>
          <w:rFonts w:ascii="Times New Roman" w:eastAsia="Times New Roman" w:hAnsi="Times New Roman" w:cs="Times New Roman"/>
          <w:b/>
          <w:sz w:val="24"/>
          <w:szCs w:val="24"/>
          <w:lang w:eastAsia="ru-RU"/>
        </w:rPr>
        <w:t>Рис. 1</w:t>
      </w:r>
      <w:r>
        <w:rPr>
          <w:rFonts w:ascii="Times New Roman" w:eastAsia="Times New Roman" w:hAnsi="Times New Roman" w:cs="Times New Roman"/>
          <w:b/>
          <w:sz w:val="24"/>
          <w:szCs w:val="24"/>
          <w:lang w:eastAsia="ru-RU"/>
        </w:rPr>
        <w:t>2</w:t>
      </w:r>
      <w:r w:rsidRPr="00817997">
        <w:rPr>
          <w:rFonts w:ascii="Times New Roman" w:eastAsia="Times New Roman" w:hAnsi="Times New Roman" w:cs="Times New Roman"/>
          <w:b/>
          <w:sz w:val="24"/>
          <w:szCs w:val="24"/>
          <w:lang w:eastAsia="ru-RU"/>
        </w:rPr>
        <w:t xml:space="preserve"> –Динамика ипотечного жилищного кредитования в Амурской области</w:t>
      </w:r>
      <w:r w:rsidRPr="00817997">
        <w:rPr>
          <w:rFonts w:ascii="Times New Roman" w:eastAsia="Times New Roman" w:hAnsi="Times New Roman" w:cs="Times New Roman"/>
          <w:b/>
          <w:sz w:val="24"/>
          <w:szCs w:val="24"/>
          <w:lang w:eastAsia="ru-RU"/>
        </w:rPr>
        <w:br/>
        <w:t>в российских рублях</w:t>
      </w:r>
    </w:p>
    <w:p w:rsidR="00B5633D" w:rsidRPr="00C23A54"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C23A54">
        <w:rPr>
          <w:rFonts w:ascii="Times New Roman" w:eastAsia="Times New Roman" w:hAnsi="Times New Roman" w:cs="Times New Roman"/>
          <w:i/>
          <w:sz w:val="24"/>
          <w:szCs w:val="24"/>
          <w:lang w:eastAsia="ru-RU"/>
        </w:rPr>
        <w:t>Объем кредитов, предоставленных в иностранной валюте</w:t>
      </w:r>
      <w:r w:rsidRPr="00C23A54">
        <w:rPr>
          <w:rFonts w:ascii="Times New Roman" w:eastAsia="Times New Roman" w:hAnsi="Times New Roman" w:cs="Times New Roman"/>
          <w:sz w:val="24"/>
          <w:szCs w:val="24"/>
          <w:lang w:eastAsia="ru-RU"/>
        </w:rPr>
        <w:t xml:space="preserve">, по состоянию на 01.01.2018 составил 81,8 млн. рублей (по сравнению с данными по состоянию на 01.01.2017 – снижение на 75,3 процента). Все кредиты в иностранной валюте в 2017 году предоставлены физическим лицам. </w:t>
      </w:r>
    </w:p>
    <w:p w:rsidR="00B5633D" w:rsidRPr="00C23A54"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A54">
        <w:rPr>
          <w:rFonts w:ascii="Times New Roman" w:eastAsia="Times New Roman" w:hAnsi="Times New Roman" w:cs="Times New Roman"/>
          <w:i/>
          <w:sz w:val="24"/>
          <w:szCs w:val="24"/>
          <w:lang w:eastAsia="ru-RU"/>
        </w:rPr>
        <w:t xml:space="preserve">Средневзвешенная процентная ставка по </w:t>
      </w:r>
      <w:r w:rsidRPr="00C23A54">
        <w:rPr>
          <w:rFonts w:ascii="Times New Roman" w:eastAsia="Times New Roman" w:hAnsi="Times New Roman" w:cs="Times New Roman"/>
          <w:sz w:val="24"/>
          <w:szCs w:val="24"/>
          <w:lang w:eastAsia="ru-RU"/>
        </w:rPr>
        <w:t xml:space="preserve">ипотечным кредитам, предоставленным населению Амурской области в валюте Российской Федерации на 01.01.2018 составила </w:t>
      </w:r>
      <w:r w:rsidRPr="00C23A54">
        <w:rPr>
          <w:rFonts w:ascii="Times New Roman" w:eastAsia="Times New Roman" w:hAnsi="Times New Roman" w:cs="Times New Roman"/>
          <w:sz w:val="24"/>
          <w:szCs w:val="24"/>
          <w:lang w:eastAsia="ru-RU"/>
        </w:rPr>
        <w:br/>
        <w:t xml:space="preserve">10,5 процента, что </w:t>
      </w:r>
      <w:r>
        <w:rPr>
          <w:rFonts w:ascii="Times New Roman" w:eastAsia="Times New Roman" w:hAnsi="Times New Roman" w:cs="Times New Roman"/>
          <w:sz w:val="24"/>
          <w:szCs w:val="24"/>
          <w:lang w:eastAsia="ru-RU"/>
        </w:rPr>
        <w:t>выш</w:t>
      </w:r>
      <w:r w:rsidRPr="00C23A54">
        <w:rPr>
          <w:rFonts w:ascii="Times New Roman" w:eastAsia="Times New Roman" w:hAnsi="Times New Roman" w:cs="Times New Roman"/>
          <w:sz w:val="24"/>
          <w:szCs w:val="24"/>
          <w:lang w:eastAsia="ru-RU"/>
        </w:rPr>
        <w:t>е уровня средневзвешенных ставок по указанным кредитам по России в целом – 9,79 процента</w:t>
      </w:r>
      <w:r>
        <w:rPr>
          <w:rFonts w:ascii="Times New Roman" w:eastAsia="Times New Roman" w:hAnsi="Times New Roman" w:cs="Times New Roman"/>
          <w:sz w:val="24"/>
          <w:szCs w:val="24"/>
          <w:lang w:eastAsia="ru-RU"/>
        </w:rPr>
        <w:t>.</w:t>
      </w:r>
      <w:r w:rsidRPr="00C23A54">
        <w:rPr>
          <w:rFonts w:ascii="Times New Roman" w:eastAsia="Times New Roman" w:hAnsi="Times New Roman" w:cs="Times New Roman"/>
          <w:sz w:val="24"/>
          <w:szCs w:val="24"/>
          <w:lang w:eastAsia="ru-RU"/>
        </w:rPr>
        <w:t xml:space="preserve"> </w:t>
      </w:r>
    </w:p>
    <w:p w:rsidR="00B5633D" w:rsidRPr="00C23A54"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A54">
        <w:rPr>
          <w:rFonts w:ascii="Times New Roman" w:eastAsia="Times New Roman" w:hAnsi="Times New Roman" w:cs="Times New Roman"/>
          <w:i/>
          <w:sz w:val="24"/>
          <w:szCs w:val="24"/>
          <w:lang w:eastAsia="ru-RU"/>
        </w:rPr>
        <w:t>Объём задолженности по жилищным кредитам, предоставленным банковскими учреждениями населению</w:t>
      </w:r>
      <w:r w:rsidRPr="00C23A54">
        <w:rPr>
          <w:rFonts w:ascii="Times New Roman" w:eastAsia="Times New Roman" w:hAnsi="Times New Roman" w:cs="Times New Roman"/>
          <w:sz w:val="24"/>
          <w:szCs w:val="24"/>
          <w:lang w:eastAsia="ru-RU"/>
        </w:rPr>
        <w:t xml:space="preserve"> Амурской области, по состоянию на 01.01.2018 составил </w:t>
      </w:r>
      <w:r w:rsidRPr="00C23A54">
        <w:rPr>
          <w:rFonts w:ascii="Times New Roman" w:eastAsia="Times New Roman" w:hAnsi="Times New Roman" w:cs="Times New Roman"/>
          <w:sz w:val="24"/>
          <w:szCs w:val="24"/>
          <w:lang w:eastAsia="ru-RU"/>
        </w:rPr>
        <w:br/>
        <w:t>29,9 млрд. рублей (в том числе по ипотечным  кредитам – 29,8 млрд. рублей). По отношению к 01.01.2017 этот показатель возрос на 9,1 процента (в том числе по ипотечным жилищным кредитам – на 9,4 процента).</w:t>
      </w:r>
    </w:p>
    <w:p w:rsidR="00B5633D" w:rsidRPr="00C23A54" w:rsidRDefault="00B5633D" w:rsidP="00B5633D">
      <w:pPr>
        <w:widowControl w:val="0"/>
        <w:tabs>
          <w:tab w:val="left" w:pos="851"/>
          <w:tab w:val="left" w:pos="3544"/>
          <w:tab w:val="left" w:pos="4536"/>
          <w:tab w:val="left" w:pos="609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A54">
        <w:rPr>
          <w:rFonts w:ascii="Times New Roman" w:eastAsia="Times New Roman" w:hAnsi="Times New Roman" w:cs="Times New Roman"/>
          <w:i/>
          <w:sz w:val="24"/>
          <w:szCs w:val="24"/>
          <w:lang w:eastAsia="ru-RU"/>
        </w:rPr>
        <w:t>Удельный вес задолженности по кредитам, предоставленным на покупку жилья, в общем объёме задолженности</w:t>
      </w:r>
      <w:r w:rsidRPr="00C23A54">
        <w:rPr>
          <w:rFonts w:ascii="Times New Roman" w:eastAsia="Times New Roman" w:hAnsi="Times New Roman" w:cs="Times New Roman"/>
          <w:sz w:val="24"/>
          <w:szCs w:val="24"/>
          <w:lang w:eastAsia="ru-RU"/>
        </w:rPr>
        <w:t xml:space="preserve"> жителей Амурской области по потребительским кредитам по состоянию на 01.01.2018 увеличился и составил 41,3 процента против 40,8 процента по состоянию на 01.01.2017. </w:t>
      </w:r>
    </w:p>
    <w:p w:rsidR="00B5633D" w:rsidRPr="009768B5" w:rsidRDefault="00B5633D" w:rsidP="00B5633D">
      <w:pPr>
        <w:spacing w:after="0" w:line="240" w:lineRule="auto"/>
        <w:ind w:firstLine="709"/>
        <w:jc w:val="both"/>
        <w:rPr>
          <w:rFonts w:ascii="Times New Roman" w:eastAsia="Times New Roman" w:hAnsi="Times New Roman" w:cs="Times New Roman"/>
          <w:i/>
          <w:sz w:val="24"/>
          <w:szCs w:val="24"/>
          <w:lang w:eastAsia="ru-RU"/>
        </w:rPr>
      </w:pPr>
      <w:r w:rsidRPr="009768B5">
        <w:rPr>
          <w:rFonts w:ascii="Times New Roman" w:eastAsia="Times New Roman" w:hAnsi="Times New Roman" w:cs="Times New Roman"/>
          <w:i/>
          <w:sz w:val="24"/>
          <w:szCs w:val="24"/>
          <w:lang w:eastAsia="ru-RU"/>
        </w:rPr>
        <w:lastRenderedPageBreak/>
        <w:t xml:space="preserve">Размер просроченной задолженности по кредитам физических лиц </w:t>
      </w:r>
      <w:r w:rsidRPr="009768B5">
        <w:rPr>
          <w:rFonts w:ascii="Times New Roman" w:eastAsia="Times New Roman" w:hAnsi="Times New Roman" w:cs="Times New Roman"/>
          <w:sz w:val="24"/>
          <w:szCs w:val="24"/>
          <w:lang w:eastAsia="ru-RU"/>
        </w:rPr>
        <w:t>в 2017 году увеличился на 12,1 процента - до 6,6 млрд. рублей и в объёме потребительских кредитов составил 6,9 процента (на 01.01.2017 года – 6,7 процент</w:t>
      </w:r>
      <w:r>
        <w:rPr>
          <w:rFonts w:ascii="Times New Roman" w:eastAsia="Times New Roman" w:hAnsi="Times New Roman" w:cs="Times New Roman"/>
          <w:sz w:val="24"/>
          <w:szCs w:val="24"/>
          <w:lang w:eastAsia="ru-RU"/>
        </w:rPr>
        <w:t>а</w:t>
      </w:r>
      <w:r w:rsidRPr="009768B5">
        <w:rPr>
          <w:rFonts w:ascii="Times New Roman" w:eastAsia="Times New Roman" w:hAnsi="Times New Roman" w:cs="Times New Roman"/>
          <w:sz w:val="24"/>
          <w:szCs w:val="24"/>
          <w:lang w:eastAsia="ru-RU"/>
        </w:rPr>
        <w:t>).</w:t>
      </w:r>
    </w:p>
    <w:p w:rsidR="00B5633D" w:rsidRPr="00DF3E38"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DF3E38">
        <w:rPr>
          <w:rFonts w:ascii="Times New Roman" w:eastAsia="Times New Roman" w:hAnsi="Times New Roman" w:cs="Times New Roman"/>
          <w:b/>
          <w:i/>
          <w:sz w:val="24"/>
          <w:szCs w:val="24"/>
          <w:lang w:eastAsia="ru-RU"/>
        </w:rPr>
        <w:t xml:space="preserve">Проведенный анализ социально-экономического положения Амурской области </w:t>
      </w:r>
      <w:r w:rsidRPr="00DF3E38">
        <w:rPr>
          <w:rFonts w:ascii="Times New Roman" w:eastAsia="Times New Roman" w:hAnsi="Times New Roman" w:cs="Times New Roman"/>
          <w:b/>
          <w:i/>
          <w:sz w:val="24"/>
          <w:szCs w:val="24"/>
          <w:lang w:eastAsia="ru-RU"/>
        </w:rPr>
        <w:br/>
        <w:t>показал,</w:t>
      </w:r>
      <w:r w:rsidRPr="00DF3E38">
        <w:rPr>
          <w:rFonts w:ascii="Times New Roman" w:eastAsia="Times New Roman" w:hAnsi="Times New Roman" w:cs="Times New Roman"/>
          <w:sz w:val="24"/>
          <w:szCs w:val="24"/>
          <w:lang w:eastAsia="ru-RU"/>
        </w:rPr>
        <w:t xml:space="preserve"> что развитие экономики области в 2017 году характеризовалось наличием как положительных, так и отрицательных тенденций.</w:t>
      </w:r>
    </w:p>
    <w:p w:rsidR="00B5633D" w:rsidRPr="00DF3E38"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DF3E38">
        <w:rPr>
          <w:rFonts w:ascii="Times New Roman" w:eastAsia="Times New Roman" w:hAnsi="Times New Roman" w:cs="Times New Roman"/>
          <w:sz w:val="24"/>
          <w:szCs w:val="24"/>
          <w:lang w:eastAsia="ru-RU"/>
        </w:rPr>
        <w:t>Так, в 2017 году в Амурской области произошел рост денежных доходов населения, заработной платы в номинальном и реальном выражении, рост реальных располагаемых денежных доходов, снизилась инфляция.</w:t>
      </w:r>
    </w:p>
    <w:p w:rsidR="00B5633D" w:rsidRPr="00DF3E38"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DF3E38">
        <w:rPr>
          <w:rFonts w:ascii="Times New Roman" w:eastAsia="Times New Roman" w:hAnsi="Times New Roman" w:cs="Times New Roman"/>
          <w:sz w:val="24"/>
          <w:szCs w:val="24"/>
          <w:lang w:eastAsia="ru-RU"/>
        </w:rPr>
        <w:t xml:space="preserve">По объемам продукции сельского хозяйства и строительства Амурская область </w:t>
      </w:r>
      <w:r w:rsidR="009F6A70">
        <w:rPr>
          <w:rFonts w:ascii="Times New Roman" w:eastAsia="Times New Roman" w:hAnsi="Times New Roman" w:cs="Times New Roman"/>
          <w:sz w:val="24"/>
          <w:szCs w:val="24"/>
          <w:lang w:eastAsia="ru-RU"/>
        </w:rPr>
        <w:br/>
      </w:r>
      <w:r w:rsidRPr="00DF3E38">
        <w:rPr>
          <w:rFonts w:ascii="Times New Roman" w:eastAsia="Times New Roman" w:hAnsi="Times New Roman" w:cs="Times New Roman"/>
          <w:sz w:val="24"/>
          <w:szCs w:val="24"/>
          <w:lang w:eastAsia="ru-RU"/>
        </w:rPr>
        <w:t>в 2017 году заняла 1 место среди субъектов Дальневосточного федерального округа.</w:t>
      </w:r>
    </w:p>
    <w:p w:rsidR="00B5633D" w:rsidRPr="00DF3E38"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DF3E38">
        <w:rPr>
          <w:rFonts w:ascii="Times New Roman" w:eastAsia="Times New Roman" w:hAnsi="Times New Roman" w:cs="Times New Roman"/>
          <w:sz w:val="24"/>
          <w:szCs w:val="24"/>
          <w:lang w:eastAsia="ru-RU"/>
        </w:rPr>
        <w:t>На территории области реализуется ряд крупных инвестиционных проектов, в связи с чем объем инвестиций в основной капитал в 2017 году относительно 2016 года в сопоставимой оценке возрос почти на 40,0 процентов.</w:t>
      </w:r>
    </w:p>
    <w:p w:rsidR="00B5633D" w:rsidRPr="00DF3E38"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DF3E38">
        <w:rPr>
          <w:rFonts w:ascii="Times New Roman" w:eastAsia="Times New Roman" w:hAnsi="Times New Roman" w:cs="Times New Roman"/>
          <w:sz w:val="24"/>
          <w:szCs w:val="24"/>
          <w:lang w:eastAsia="ru-RU"/>
        </w:rPr>
        <w:t>Благодаря действию вышеперечисленных факторов ВРП Амурской области также возрос.</w:t>
      </w:r>
    </w:p>
    <w:p w:rsidR="00B5633D" w:rsidRDefault="00B5633D" w:rsidP="00B5633D">
      <w:pPr>
        <w:spacing w:after="0" w:line="240" w:lineRule="auto"/>
        <w:ind w:firstLine="709"/>
        <w:jc w:val="both"/>
        <w:rPr>
          <w:rFonts w:ascii="Times New Roman" w:eastAsia="Times New Roman" w:hAnsi="Times New Roman" w:cs="Times New Roman"/>
          <w:sz w:val="24"/>
          <w:szCs w:val="24"/>
          <w:lang w:eastAsia="ru-RU"/>
        </w:rPr>
      </w:pPr>
      <w:r w:rsidRPr="00DF3E38">
        <w:rPr>
          <w:rFonts w:ascii="Times New Roman" w:eastAsia="Times New Roman" w:hAnsi="Times New Roman" w:cs="Times New Roman"/>
          <w:sz w:val="24"/>
          <w:szCs w:val="24"/>
          <w:lang w:eastAsia="ru-RU"/>
        </w:rPr>
        <w:t xml:space="preserve">В то же время в 2017 году наблюдался рост кредиторской задолженности организаций, в том числе просроченной, а также </w:t>
      </w:r>
      <w:r>
        <w:rPr>
          <w:rFonts w:ascii="Times New Roman" w:eastAsia="Times New Roman" w:hAnsi="Times New Roman" w:cs="Times New Roman"/>
          <w:sz w:val="24"/>
          <w:szCs w:val="24"/>
          <w:lang w:eastAsia="ru-RU"/>
        </w:rPr>
        <w:t xml:space="preserve">задолженности </w:t>
      </w:r>
      <w:r w:rsidRPr="00DF3E38">
        <w:rPr>
          <w:rFonts w:ascii="Times New Roman" w:eastAsia="Times New Roman" w:hAnsi="Times New Roman" w:cs="Times New Roman"/>
          <w:sz w:val="24"/>
          <w:szCs w:val="24"/>
          <w:lang w:eastAsia="ru-RU"/>
        </w:rPr>
        <w:t>по заработной плате работников строительства.</w:t>
      </w:r>
      <w:r>
        <w:rPr>
          <w:rFonts w:ascii="Times New Roman" w:eastAsia="Times New Roman" w:hAnsi="Times New Roman" w:cs="Times New Roman"/>
          <w:sz w:val="24"/>
          <w:szCs w:val="24"/>
          <w:lang w:eastAsia="ru-RU"/>
        </w:rPr>
        <w:t xml:space="preserve"> </w:t>
      </w:r>
      <w:r w:rsidRPr="00DF3E38">
        <w:rPr>
          <w:rFonts w:ascii="Times New Roman" w:eastAsia="Times New Roman" w:hAnsi="Times New Roman" w:cs="Times New Roman"/>
          <w:sz w:val="24"/>
          <w:szCs w:val="24"/>
          <w:lang w:eastAsia="ru-RU"/>
        </w:rPr>
        <w:t>Кроме того, наблюдался значительный рост цен на строительную продукцию (2 место среди субъектов Дальневосточного федерального округа по темпу роста цен).</w:t>
      </w:r>
      <w:r>
        <w:rPr>
          <w:rFonts w:ascii="Times New Roman" w:eastAsia="Times New Roman" w:hAnsi="Times New Roman" w:cs="Times New Roman"/>
          <w:sz w:val="24"/>
          <w:szCs w:val="24"/>
          <w:lang w:eastAsia="ru-RU"/>
        </w:rPr>
        <w:t xml:space="preserve"> </w:t>
      </w:r>
    </w:p>
    <w:p w:rsidR="00B5633D" w:rsidRPr="00DF3E38" w:rsidRDefault="00B5633D" w:rsidP="00B563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отрицательным тенденциям следует отнести продолжающийся спад промышленного производства. В частности, в 2017 году наблюдался спад в большинстве видов обрабатывающих производств.</w:t>
      </w:r>
    </w:p>
    <w:p w:rsidR="00B5633D" w:rsidRDefault="00B5633D" w:rsidP="00B5633D">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2017 году закончила действие Программа </w:t>
      </w:r>
      <w:r w:rsidRPr="0045646E">
        <w:rPr>
          <w:rFonts w:ascii="Times New Roman" w:eastAsia="Times New Roman" w:hAnsi="Times New Roman" w:cs="Times New Roman"/>
          <w:sz w:val="24"/>
          <w:szCs w:val="20"/>
          <w:lang w:eastAsia="ru-RU"/>
        </w:rPr>
        <w:t>социально-экономического развития Амурской област</w:t>
      </w:r>
      <w:r>
        <w:rPr>
          <w:rFonts w:ascii="Times New Roman" w:eastAsia="Times New Roman" w:hAnsi="Times New Roman" w:cs="Times New Roman"/>
          <w:sz w:val="24"/>
          <w:szCs w:val="20"/>
          <w:lang w:eastAsia="ru-RU"/>
        </w:rPr>
        <w:t>и на 2013-2017 годы, утвержденная</w:t>
      </w:r>
      <w:r w:rsidRPr="0045646E">
        <w:rPr>
          <w:rFonts w:ascii="Times New Roman" w:eastAsia="Times New Roman" w:hAnsi="Times New Roman" w:cs="Times New Roman"/>
          <w:sz w:val="24"/>
          <w:szCs w:val="20"/>
          <w:lang w:eastAsia="ru-RU"/>
        </w:rPr>
        <w:t xml:space="preserve"> Законом Амурской области от 13.11.2013 № 277-ОЗ</w:t>
      </w:r>
      <w:r>
        <w:rPr>
          <w:rFonts w:ascii="Times New Roman" w:eastAsia="Times New Roman" w:hAnsi="Times New Roman" w:cs="Times New Roman"/>
          <w:sz w:val="24"/>
          <w:szCs w:val="20"/>
          <w:lang w:eastAsia="ru-RU"/>
        </w:rPr>
        <w:t>.</w:t>
      </w:r>
    </w:p>
    <w:p w:rsidR="00B5633D" w:rsidRDefault="00B5633D" w:rsidP="00B5633D">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Контрольно-счетная палата Амурской области отмечает, что формирование такого документа и утверждение его Законодательным Собранием Амурской области не предусмотрено в качестве документа целеполагания, прогнозирования, планирования и программирования ф</w:t>
      </w:r>
      <w:r w:rsidRPr="00514615">
        <w:rPr>
          <w:rFonts w:ascii="Times New Roman" w:eastAsia="Times New Roman" w:hAnsi="Times New Roman" w:cs="Times New Roman"/>
          <w:sz w:val="24"/>
          <w:szCs w:val="20"/>
          <w:lang w:eastAsia="ru-RU"/>
        </w:rPr>
        <w:t>едеральны</w:t>
      </w:r>
      <w:r>
        <w:rPr>
          <w:rFonts w:ascii="Times New Roman" w:eastAsia="Times New Roman" w:hAnsi="Times New Roman" w:cs="Times New Roman"/>
          <w:sz w:val="24"/>
          <w:szCs w:val="20"/>
          <w:lang w:eastAsia="ru-RU"/>
        </w:rPr>
        <w:t>м законом от 28.06.2014 №</w:t>
      </w:r>
      <w:r w:rsidRPr="00514615">
        <w:rPr>
          <w:rFonts w:ascii="Times New Roman" w:eastAsia="Times New Roman" w:hAnsi="Times New Roman" w:cs="Times New Roman"/>
          <w:sz w:val="24"/>
          <w:szCs w:val="20"/>
          <w:lang w:eastAsia="ru-RU"/>
        </w:rPr>
        <w:t xml:space="preserve"> 172-ФЗ</w:t>
      </w:r>
      <w:r>
        <w:rPr>
          <w:rFonts w:ascii="Times New Roman" w:eastAsia="Times New Roman" w:hAnsi="Times New Roman" w:cs="Times New Roman"/>
          <w:sz w:val="24"/>
          <w:szCs w:val="20"/>
          <w:lang w:eastAsia="ru-RU"/>
        </w:rPr>
        <w:t xml:space="preserve"> «</w:t>
      </w:r>
      <w:r w:rsidRPr="00514615">
        <w:rPr>
          <w:rFonts w:ascii="Times New Roman" w:eastAsia="Times New Roman" w:hAnsi="Times New Roman" w:cs="Times New Roman"/>
          <w:sz w:val="24"/>
          <w:szCs w:val="20"/>
          <w:lang w:eastAsia="ru-RU"/>
        </w:rPr>
        <w:t>О стратегическом план</w:t>
      </w:r>
      <w:r>
        <w:rPr>
          <w:rFonts w:ascii="Times New Roman" w:eastAsia="Times New Roman" w:hAnsi="Times New Roman" w:cs="Times New Roman"/>
          <w:sz w:val="24"/>
          <w:szCs w:val="20"/>
          <w:lang w:eastAsia="ru-RU"/>
        </w:rPr>
        <w:t>ировании в Российской Федерации»</w:t>
      </w:r>
      <w:r w:rsidRPr="00514615">
        <w:rPr>
          <w:rFonts w:ascii="Times New Roman" w:eastAsia="Times New Roman" w:hAnsi="Times New Roman" w:cs="Times New Roman"/>
          <w:sz w:val="24"/>
          <w:szCs w:val="20"/>
          <w:lang w:eastAsia="ru-RU"/>
        </w:rPr>
        <w:t xml:space="preserve"> (ред. от 31.12.2017)</w:t>
      </w:r>
      <w:r>
        <w:rPr>
          <w:rFonts w:ascii="Times New Roman" w:eastAsia="Times New Roman" w:hAnsi="Times New Roman" w:cs="Times New Roman"/>
          <w:sz w:val="24"/>
          <w:szCs w:val="20"/>
          <w:lang w:eastAsia="ru-RU"/>
        </w:rPr>
        <w:t xml:space="preserve"> и </w:t>
      </w:r>
      <w:r w:rsidRPr="00514615">
        <w:rPr>
          <w:rFonts w:ascii="Times New Roman" w:eastAsia="Times New Roman" w:hAnsi="Times New Roman" w:cs="Times New Roman"/>
          <w:sz w:val="24"/>
          <w:szCs w:val="20"/>
          <w:lang w:eastAsia="ru-RU"/>
        </w:rPr>
        <w:t>Закон</w:t>
      </w:r>
      <w:r>
        <w:rPr>
          <w:rFonts w:ascii="Times New Roman" w:eastAsia="Times New Roman" w:hAnsi="Times New Roman" w:cs="Times New Roman"/>
          <w:sz w:val="24"/>
          <w:szCs w:val="20"/>
          <w:lang w:eastAsia="ru-RU"/>
        </w:rPr>
        <w:t>ом</w:t>
      </w:r>
      <w:r w:rsidRPr="00514615">
        <w:rPr>
          <w:rFonts w:ascii="Times New Roman" w:eastAsia="Times New Roman" w:hAnsi="Times New Roman" w:cs="Times New Roman"/>
          <w:sz w:val="24"/>
          <w:szCs w:val="20"/>
          <w:lang w:eastAsia="ru-RU"/>
        </w:rPr>
        <w:t xml:space="preserve"> Амурской области от 10.06.2015 </w:t>
      </w:r>
      <w:r>
        <w:rPr>
          <w:rFonts w:ascii="Times New Roman" w:eastAsia="Times New Roman" w:hAnsi="Times New Roman" w:cs="Times New Roman"/>
          <w:sz w:val="24"/>
          <w:szCs w:val="20"/>
          <w:lang w:eastAsia="ru-RU"/>
        </w:rPr>
        <w:t>№</w:t>
      </w:r>
      <w:r w:rsidRPr="00514615">
        <w:rPr>
          <w:rFonts w:ascii="Times New Roman" w:eastAsia="Times New Roman" w:hAnsi="Times New Roman" w:cs="Times New Roman"/>
          <w:sz w:val="24"/>
          <w:szCs w:val="20"/>
          <w:lang w:eastAsia="ru-RU"/>
        </w:rPr>
        <w:t xml:space="preserve"> 552-ОЗ</w:t>
      </w:r>
      <w:r>
        <w:rPr>
          <w:rFonts w:ascii="Times New Roman" w:eastAsia="Times New Roman" w:hAnsi="Times New Roman" w:cs="Times New Roman"/>
          <w:sz w:val="24"/>
          <w:szCs w:val="20"/>
          <w:lang w:eastAsia="ru-RU"/>
        </w:rPr>
        <w:t xml:space="preserve"> «</w:t>
      </w:r>
      <w:r w:rsidRPr="00514615">
        <w:rPr>
          <w:rFonts w:ascii="Times New Roman" w:eastAsia="Times New Roman" w:hAnsi="Times New Roman" w:cs="Times New Roman"/>
          <w:sz w:val="24"/>
          <w:szCs w:val="20"/>
          <w:lang w:eastAsia="ru-RU"/>
        </w:rPr>
        <w:t>Об отдельных вопросах стратегического планирования в Амурской области</w:t>
      </w:r>
      <w:r>
        <w:rPr>
          <w:rFonts w:ascii="Times New Roman" w:eastAsia="Times New Roman" w:hAnsi="Times New Roman" w:cs="Times New Roman"/>
          <w:sz w:val="24"/>
          <w:szCs w:val="20"/>
          <w:lang w:eastAsia="ru-RU"/>
        </w:rPr>
        <w:t xml:space="preserve">» </w:t>
      </w:r>
      <w:r w:rsidRPr="00514615">
        <w:rPr>
          <w:rFonts w:ascii="Times New Roman" w:eastAsia="Times New Roman" w:hAnsi="Times New Roman" w:cs="Times New Roman"/>
          <w:sz w:val="24"/>
          <w:szCs w:val="20"/>
          <w:lang w:eastAsia="ru-RU"/>
        </w:rPr>
        <w:t>(ред. от 06.04.2018)</w:t>
      </w:r>
      <w:r>
        <w:rPr>
          <w:rFonts w:ascii="Times New Roman" w:eastAsia="Times New Roman" w:hAnsi="Times New Roman" w:cs="Times New Roman"/>
          <w:sz w:val="24"/>
          <w:szCs w:val="20"/>
          <w:lang w:eastAsia="ru-RU"/>
        </w:rPr>
        <w:t>.</w:t>
      </w:r>
    </w:p>
    <w:p w:rsidR="00B5633D" w:rsidRDefault="00B5633D" w:rsidP="00B5633D">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Государственные программы субъекта Российской Федерации в соответствии со статьей 179 Бюджетного кодекса Российской Федерации </w:t>
      </w:r>
      <w:r w:rsidRPr="004A3E8F">
        <w:rPr>
          <w:rFonts w:ascii="Times New Roman" w:eastAsia="Times New Roman" w:hAnsi="Times New Roman" w:cs="Times New Roman"/>
          <w:sz w:val="24"/>
          <w:szCs w:val="20"/>
          <w:lang w:eastAsia="ru-RU"/>
        </w:rPr>
        <w:t>утверждаются высшим исполнительным органом государственной власти субъекта Российской Федерации</w:t>
      </w:r>
      <w:r>
        <w:rPr>
          <w:rFonts w:ascii="Times New Roman" w:eastAsia="Times New Roman" w:hAnsi="Times New Roman" w:cs="Times New Roman"/>
          <w:sz w:val="24"/>
          <w:szCs w:val="20"/>
          <w:lang w:eastAsia="ru-RU"/>
        </w:rPr>
        <w:t>.</w:t>
      </w:r>
    </w:p>
    <w:p w:rsidR="00B5633D" w:rsidRDefault="00EE48D6" w:rsidP="00B5633D">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Соответственно, контроль реализации указанного документа, своевременностью внесения в него изменений, не предусмотрен действующими нормативными правовыми актами, регулирующими порядок разработки, утверждения и реализации государственных прогнозов и программ Амурской области.</w:t>
      </w:r>
    </w:p>
    <w:p w:rsidR="00B5633D" w:rsidRDefault="00B5633D" w:rsidP="00B5633D">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Последняя корректировка показателей Программы </w:t>
      </w:r>
      <w:r w:rsidRPr="00514615">
        <w:rPr>
          <w:rFonts w:ascii="Times New Roman" w:eastAsia="Times New Roman" w:hAnsi="Times New Roman" w:cs="Times New Roman"/>
          <w:sz w:val="24"/>
          <w:szCs w:val="20"/>
          <w:lang w:eastAsia="ru-RU"/>
        </w:rPr>
        <w:t>социально-экономического развития Амурской области на 2013-2017 годы, утвержденн</w:t>
      </w:r>
      <w:r>
        <w:rPr>
          <w:rFonts w:ascii="Times New Roman" w:eastAsia="Times New Roman" w:hAnsi="Times New Roman" w:cs="Times New Roman"/>
          <w:sz w:val="24"/>
          <w:szCs w:val="20"/>
          <w:lang w:eastAsia="ru-RU"/>
        </w:rPr>
        <w:t>ой</w:t>
      </w:r>
      <w:r w:rsidRPr="00514615">
        <w:rPr>
          <w:rFonts w:ascii="Times New Roman" w:eastAsia="Times New Roman" w:hAnsi="Times New Roman" w:cs="Times New Roman"/>
          <w:sz w:val="24"/>
          <w:szCs w:val="20"/>
          <w:lang w:eastAsia="ru-RU"/>
        </w:rPr>
        <w:t xml:space="preserve"> Законом Амурской</w:t>
      </w:r>
      <w:r>
        <w:rPr>
          <w:rFonts w:ascii="Times New Roman" w:eastAsia="Times New Roman" w:hAnsi="Times New Roman" w:cs="Times New Roman"/>
          <w:sz w:val="24"/>
          <w:szCs w:val="20"/>
          <w:lang w:eastAsia="ru-RU"/>
        </w:rPr>
        <w:t xml:space="preserve"> области от 13.11.2013 № 277-ОЗ, осуществлялась Законом Амурской области от 22.09.2016 № 713-ОЗ.</w:t>
      </w:r>
    </w:p>
    <w:p w:rsidR="00B5633D" w:rsidRPr="004A3E8F" w:rsidRDefault="00B5633D" w:rsidP="00B5633D">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Анализ показателей социально-экономического развития Амурской области за </w:t>
      </w:r>
      <w:r w:rsidR="009F6A70">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 xml:space="preserve">2017 год показал недостижение установленных </w:t>
      </w:r>
      <w:r w:rsidRPr="004A3E8F">
        <w:rPr>
          <w:rFonts w:ascii="Times New Roman" w:eastAsia="Times New Roman" w:hAnsi="Times New Roman" w:cs="Times New Roman"/>
          <w:sz w:val="24"/>
          <w:szCs w:val="24"/>
          <w:lang w:eastAsia="ru-RU"/>
        </w:rPr>
        <w:t xml:space="preserve">Программой социально-экономического развития Амурской области на 2013-2017 годы, утвержденной Законом Амурской области от 13.11.2013 № 277-ОЗ, </w:t>
      </w:r>
      <w:r>
        <w:rPr>
          <w:rFonts w:ascii="Times New Roman" w:eastAsia="Times New Roman" w:hAnsi="Times New Roman" w:cs="Times New Roman"/>
          <w:sz w:val="24"/>
          <w:szCs w:val="24"/>
          <w:lang w:eastAsia="ru-RU"/>
        </w:rPr>
        <w:t xml:space="preserve">значений </w:t>
      </w:r>
      <w:r w:rsidRPr="004A3E8F">
        <w:rPr>
          <w:rFonts w:ascii="Times New Roman" w:eastAsia="Times New Roman" w:hAnsi="Times New Roman" w:cs="Times New Roman"/>
          <w:sz w:val="24"/>
          <w:szCs w:val="24"/>
          <w:lang w:eastAsia="ru-RU"/>
        </w:rPr>
        <w:t>по показателям</w:t>
      </w:r>
      <w:r>
        <w:rPr>
          <w:rFonts w:ascii="Times New Roman" w:eastAsia="Times New Roman" w:hAnsi="Times New Roman" w:cs="Times New Roman"/>
          <w:sz w:val="24"/>
          <w:szCs w:val="24"/>
          <w:lang w:eastAsia="ru-RU"/>
        </w:rPr>
        <w:t>:</w:t>
      </w:r>
      <w:r w:rsidRPr="004A3E8F">
        <w:rPr>
          <w:rFonts w:ascii="Times New Roman" w:eastAsia="Times New Roman" w:hAnsi="Times New Roman" w:cs="Times New Roman"/>
          <w:sz w:val="24"/>
          <w:szCs w:val="24"/>
          <w:lang w:eastAsia="ru-RU"/>
        </w:rPr>
        <w:t xml:space="preserve"> ВРП, объем промышленного производства, индекс промышленного производства, объем инвестиций в основной капитал, ввод в действие жилых домов, развития торговли и сферы услуг</w:t>
      </w:r>
      <w:r>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0"/>
          <w:lang w:eastAsia="ru-RU"/>
        </w:rPr>
        <w:t>отсутствие связи запланированных значений показателей данного документа с прогнозом социально-экономического развития Амурской области на 2017 год</w:t>
      </w:r>
      <w:r w:rsidR="00AA6522">
        <w:rPr>
          <w:rFonts w:ascii="Times New Roman" w:eastAsia="Times New Roman" w:hAnsi="Times New Roman" w:cs="Times New Roman"/>
          <w:sz w:val="24"/>
          <w:szCs w:val="24"/>
          <w:lang w:eastAsia="ru-RU"/>
        </w:rPr>
        <w:t>.</w:t>
      </w:r>
    </w:p>
    <w:p w:rsidR="00B5633D" w:rsidRDefault="00B5633D" w:rsidP="00B5633D">
      <w:pPr>
        <w:spacing w:after="0" w:line="240" w:lineRule="auto"/>
        <w:ind w:firstLine="709"/>
        <w:jc w:val="both"/>
        <w:rPr>
          <w:rFonts w:ascii="Times New Roman" w:eastAsia="Times New Roman" w:hAnsi="Times New Roman" w:cs="Times New Roman"/>
          <w:b/>
          <w:i/>
          <w:sz w:val="24"/>
          <w:szCs w:val="24"/>
          <w:lang w:eastAsia="ru-RU"/>
        </w:rPr>
      </w:pPr>
    </w:p>
    <w:p w:rsidR="009C45F8" w:rsidRPr="008F2D44"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8F2D44">
        <w:rPr>
          <w:rFonts w:ascii="Times New Roman" w:eastAsia="Times New Roman" w:hAnsi="Times New Roman" w:cs="Times New Roman"/>
          <w:b/>
          <w:sz w:val="24"/>
          <w:szCs w:val="24"/>
          <w:lang w:eastAsia="ru-RU"/>
        </w:rPr>
        <w:lastRenderedPageBreak/>
        <w:t>2</w:t>
      </w:r>
      <w:bookmarkStart w:id="4" w:name="_Toc137011263"/>
      <w:r w:rsidRPr="008F2D44">
        <w:rPr>
          <w:rFonts w:ascii="Times New Roman" w:eastAsia="Times New Roman" w:hAnsi="Times New Roman" w:cs="Times New Roman"/>
          <w:b/>
          <w:sz w:val="24"/>
          <w:szCs w:val="24"/>
          <w:lang w:eastAsia="ru-RU"/>
        </w:rPr>
        <w:t>. Исполнение консолидированного бюджета области за 201</w:t>
      </w:r>
      <w:r>
        <w:rPr>
          <w:rFonts w:ascii="Times New Roman" w:eastAsia="Times New Roman" w:hAnsi="Times New Roman" w:cs="Times New Roman"/>
          <w:b/>
          <w:sz w:val="24"/>
          <w:szCs w:val="24"/>
          <w:lang w:eastAsia="ru-RU"/>
        </w:rPr>
        <w:t>7</w:t>
      </w:r>
      <w:r w:rsidRPr="008F2D44">
        <w:rPr>
          <w:rFonts w:ascii="Times New Roman" w:eastAsia="Times New Roman" w:hAnsi="Times New Roman" w:cs="Times New Roman"/>
          <w:b/>
          <w:sz w:val="24"/>
          <w:szCs w:val="24"/>
          <w:lang w:eastAsia="ru-RU"/>
        </w:rPr>
        <w:t xml:space="preserve"> год</w:t>
      </w:r>
      <w:bookmarkEnd w:id="4"/>
    </w:p>
    <w:p w:rsidR="009C45F8" w:rsidRPr="008F2D44"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D44">
        <w:rPr>
          <w:rFonts w:ascii="Times New Roman" w:eastAsia="Times New Roman" w:hAnsi="Times New Roman" w:cs="Times New Roman"/>
          <w:sz w:val="24"/>
          <w:szCs w:val="24"/>
          <w:lang w:eastAsia="ru-RU"/>
        </w:rPr>
        <w:t xml:space="preserve">Анализ консолидированного бюджета Амурской области проведен на основании данных отчета об исполнении консолидированного бюджета области, представленного одновременно с годовым отчетом об исполнении областного бюджета в соответствии со </w:t>
      </w:r>
      <w:r w:rsidRPr="008F2D44">
        <w:rPr>
          <w:rFonts w:ascii="Times New Roman" w:eastAsia="Times New Roman" w:hAnsi="Times New Roman" w:cs="Times New Roman"/>
          <w:sz w:val="24"/>
          <w:szCs w:val="24"/>
          <w:lang w:eastAsia="ru-RU"/>
        </w:rPr>
        <w:br/>
        <w:t>статьей 17 Закона Амурской области от 31.08.2007 № 368-ОЗ «О бюджетном процессе в Амурской области».</w:t>
      </w:r>
    </w:p>
    <w:p w:rsidR="009C45F8" w:rsidRP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A299F">
        <w:rPr>
          <w:rFonts w:ascii="Times New Roman" w:eastAsia="Times New Roman" w:hAnsi="Times New Roman" w:cs="Times New Roman"/>
          <w:sz w:val="24"/>
          <w:szCs w:val="24"/>
          <w:lang w:eastAsia="ru-RU"/>
        </w:rPr>
        <w:t>Исполнение консолидированного бюджета Амурской области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по доходам составило </w:t>
      </w:r>
      <w:r>
        <w:rPr>
          <w:rFonts w:ascii="Times New Roman" w:eastAsia="Times New Roman" w:hAnsi="Times New Roman" w:cs="Times New Roman"/>
          <w:sz w:val="24"/>
          <w:szCs w:val="24"/>
          <w:lang w:eastAsia="ru-RU"/>
        </w:rPr>
        <w:t>58098948,3 тыс. рублей,</w:t>
      </w:r>
      <w:r w:rsidRPr="001A299F">
        <w:rPr>
          <w:rFonts w:ascii="Times New Roman" w:eastAsia="Times New Roman" w:hAnsi="Times New Roman" w:cs="Times New Roman"/>
          <w:bCs/>
          <w:sz w:val="24"/>
          <w:szCs w:val="24"/>
          <w:lang w:eastAsia="ru-RU"/>
        </w:rPr>
        <w:t xml:space="preserve"> или 10</w:t>
      </w:r>
      <w:r>
        <w:rPr>
          <w:rFonts w:ascii="Times New Roman" w:eastAsia="Times New Roman" w:hAnsi="Times New Roman" w:cs="Times New Roman"/>
          <w:bCs/>
          <w:sz w:val="24"/>
          <w:szCs w:val="24"/>
          <w:lang w:eastAsia="ru-RU"/>
        </w:rPr>
        <w:t>1</w:t>
      </w:r>
      <w:r w:rsidRPr="001A2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6</w:t>
      </w:r>
      <w:r w:rsidRPr="001A299F">
        <w:rPr>
          <w:rFonts w:ascii="Times New Roman" w:eastAsia="Times New Roman" w:hAnsi="Times New Roman" w:cs="Times New Roman"/>
          <w:bCs/>
          <w:sz w:val="24"/>
          <w:szCs w:val="24"/>
          <w:lang w:eastAsia="ru-RU"/>
        </w:rPr>
        <w:t xml:space="preserve"> процента плановых назначений. П</w:t>
      </w:r>
      <w:r w:rsidRPr="001A299F">
        <w:rPr>
          <w:rFonts w:ascii="Times New Roman" w:eastAsia="Times New Roman" w:hAnsi="Times New Roman" w:cs="Times New Roman"/>
          <w:sz w:val="24"/>
          <w:szCs w:val="24"/>
          <w:lang w:eastAsia="ru-RU"/>
        </w:rPr>
        <w:t xml:space="preserve">о расходам консолидированный бюджет исполнен в объеме </w:t>
      </w:r>
      <w:r>
        <w:rPr>
          <w:rFonts w:ascii="Times New Roman" w:eastAsia="Times New Roman" w:hAnsi="Times New Roman" w:cs="Times New Roman"/>
          <w:sz w:val="24"/>
          <w:szCs w:val="24"/>
          <w:lang w:eastAsia="ru-RU"/>
        </w:rPr>
        <w:t>57650463,3 тыс. рублей</w:t>
      </w:r>
      <w:r w:rsidRPr="001A299F">
        <w:rPr>
          <w:rFonts w:ascii="Times New Roman" w:eastAsia="Times New Roman" w:hAnsi="Times New Roman" w:cs="Times New Roman"/>
          <w:bCs/>
          <w:sz w:val="24"/>
          <w:szCs w:val="24"/>
          <w:lang w:eastAsia="ru-RU"/>
        </w:rPr>
        <w:t>, или 9</w:t>
      </w:r>
      <w:r>
        <w:rPr>
          <w:rFonts w:ascii="Times New Roman" w:eastAsia="Times New Roman" w:hAnsi="Times New Roman" w:cs="Times New Roman"/>
          <w:bCs/>
          <w:sz w:val="24"/>
          <w:szCs w:val="24"/>
          <w:lang w:eastAsia="ru-RU"/>
        </w:rPr>
        <w:t>4</w:t>
      </w:r>
      <w:r w:rsidRPr="001A299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1A299F">
        <w:rPr>
          <w:rFonts w:ascii="Times New Roman" w:eastAsia="Times New Roman" w:hAnsi="Times New Roman" w:cs="Times New Roman"/>
          <w:sz w:val="24"/>
          <w:szCs w:val="24"/>
          <w:lang w:eastAsia="ru-RU"/>
        </w:rPr>
        <w:t xml:space="preserve"> процента плановых назначений.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консолидированный бюджет исполнен с </w:t>
      </w:r>
      <w:r>
        <w:rPr>
          <w:rFonts w:ascii="Times New Roman" w:eastAsia="Times New Roman" w:hAnsi="Times New Roman" w:cs="Times New Roman"/>
          <w:sz w:val="24"/>
          <w:szCs w:val="24"/>
          <w:lang w:eastAsia="ru-RU"/>
        </w:rPr>
        <w:t xml:space="preserve">профицитом </w:t>
      </w:r>
      <w:r w:rsidRPr="001A299F">
        <w:rPr>
          <w:rFonts w:ascii="Times New Roman" w:eastAsia="Times New Roman" w:hAnsi="Times New Roman" w:cs="Times New Roman"/>
          <w:sz w:val="24"/>
          <w:szCs w:val="24"/>
          <w:lang w:eastAsia="ru-RU"/>
        </w:rPr>
        <w:t>в объеме</w:t>
      </w:r>
      <w:r>
        <w:rPr>
          <w:rFonts w:ascii="Times New Roman" w:eastAsia="Times New Roman" w:hAnsi="Times New Roman" w:cs="Times New Roman"/>
          <w:sz w:val="24"/>
          <w:szCs w:val="24"/>
          <w:lang w:eastAsia="ru-RU"/>
        </w:rPr>
        <w:t xml:space="preserve"> 448485,0 тыс. рублей </w:t>
      </w:r>
      <w:r w:rsidRPr="001A299F">
        <w:rPr>
          <w:rFonts w:ascii="Times New Roman" w:eastAsia="Times New Roman" w:hAnsi="Times New Roman" w:cs="Times New Roman"/>
          <w:sz w:val="24"/>
          <w:szCs w:val="24"/>
          <w:lang w:eastAsia="ru-RU"/>
        </w:rPr>
        <w:t xml:space="preserve">при плановом дефиците бюджета – </w:t>
      </w:r>
      <w:r>
        <w:rPr>
          <w:rFonts w:ascii="Times New Roman" w:eastAsia="Times New Roman" w:hAnsi="Times New Roman" w:cs="Times New Roman"/>
          <w:sz w:val="24"/>
          <w:szCs w:val="24"/>
          <w:lang w:eastAsia="ru-RU"/>
        </w:rPr>
        <w:t>3000862,2</w:t>
      </w:r>
      <w:r w:rsidRPr="001A299F">
        <w:rPr>
          <w:rFonts w:ascii="Times New Roman" w:eastAsia="Times New Roman" w:hAnsi="Times New Roman" w:cs="Times New Roman"/>
          <w:sz w:val="24"/>
          <w:szCs w:val="24"/>
          <w:lang w:eastAsia="ru-RU"/>
        </w:rPr>
        <w:t xml:space="preserve"> тыс. рублей. Результаты исполнения консолидированного бюджета области за последние пять лет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3</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представлены </w:t>
      </w:r>
      <w:r w:rsidRPr="00FE08FC">
        <w:rPr>
          <w:rFonts w:ascii="Times New Roman" w:eastAsia="Times New Roman" w:hAnsi="Times New Roman" w:cs="Times New Roman"/>
          <w:sz w:val="24"/>
          <w:szCs w:val="24"/>
          <w:lang w:eastAsia="ru-RU"/>
        </w:rPr>
        <w:t xml:space="preserve">на </w:t>
      </w:r>
      <w:r w:rsidRPr="009C45F8">
        <w:rPr>
          <w:rFonts w:ascii="Times New Roman" w:eastAsia="Times New Roman" w:hAnsi="Times New Roman" w:cs="Times New Roman"/>
          <w:sz w:val="24"/>
          <w:szCs w:val="24"/>
          <w:lang w:eastAsia="ru-RU"/>
        </w:rPr>
        <w:t>рисунке 13.</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2728E">
        <w:rPr>
          <w:rFonts w:ascii="Times New Roman" w:eastAsia="Times New Roman" w:hAnsi="Times New Roman" w:cs="Times New Roman"/>
          <w:sz w:val="24"/>
          <w:szCs w:val="24"/>
          <w:lang w:eastAsia="ru-RU"/>
        </w:rPr>
        <w:t>В целом в 201</w:t>
      </w:r>
      <w:r>
        <w:rPr>
          <w:rFonts w:ascii="Times New Roman" w:eastAsia="Times New Roman" w:hAnsi="Times New Roman" w:cs="Times New Roman"/>
          <w:sz w:val="24"/>
          <w:szCs w:val="24"/>
          <w:lang w:eastAsia="ru-RU"/>
        </w:rPr>
        <w:t>7</w:t>
      </w:r>
      <w:r w:rsidRPr="0092728E">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color w:val="000000"/>
          <w:sz w:val="24"/>
          <w:szCs w:val="24"/>
          <w:lang w:eastAsia="ru-RU"/>
        </w:rPr>
        <w:t xml:space="preserve">году объем поступлений доходов консолидированного бюджета </w:t>
      </w:r>
      <w:r>
        <w:rPr>
          <w:rFonts w:ascii="Times New Roman" w:eastAsia="Times New Roman" w:hAnsi="Times New Roman" w:cs="Times New Roman"/>
          <w:color w:val="000000"/>
          <w:sz w:val="24"/>
          <w:szCs w:val="24"/>
          <w:lang w:eastAsia="ru-RU"/>
        </w:rPr>
        <w:t>выше</w:t>
      </w:r>
      <w:r w:rsidRPr="001A299F">
        <w:rPr>
          <w:rFonts w:ascii="Times New Roman" w:eastAsia="Times New Roman" w:hAnsi="Times New Roman" w:cs="Times New Roman"/>
          <w:color w:val="000000"/>
          <w:sz w:val="24"/>
          <w:szCs w:val="24"/>
          <w:lang w:eastAsia="ru-RU"/>
        </w:rPr>
        <w:t xml:space="preserve"> уровня поступлений 201</w:t>
      </w:r>
      <w:r>
        <w:rPr>
          <w:rFonts w:ascii="Times New Roman" w:eastAsia="Times New Roman" w:hAnsi="Times New Roman" w:cs="Times New Roman"/>
          <w:color w:val="000000"/>
          <w:sz w:val="24"/>
          <w:szCs w:val="24"/>
          <w:lang w:eastAsia="ru-RU"/>
        </w:rPr>
        <w:t>6</w:t>
      </w:r>
      <w:r w:rsidRPr="001A299F">
        <w:rPr>
          <w:rFonts w:ascii="Times New Roman" w:eastAsia="Times New Roman" w:hAnsi="Times New Roman" w:cs="Times New Roman"/>
          <w:color w:val="000000"/>
          <w:sz w:val="24"/>
          <w:szCs w:val="24"/>
          <w:lang w:eastAsia="ru-RU"/>
        </w:rPr>
        <w:t xml:space="preserve"> года на </w:t>
      </w:r>
      <w:r>
        <w:rPr>
          <w:rFonts w:ascii="Times New Roman" w:eastAsia="Times New Roman" w:hAnsi="Times New Roman" w:cs="Times New Roman"/>
          <w:color w:val="000000"/>
          <w:sz w:val="24"/>
          <w:szCs w:val="24"/>
          <w:lang w:eastAsia="ru-RU"/>
        </w:rPr>
        <w:t>295275,2</w:t>
      </w:r>
      <w:r w:rsidRPr="001A299F">
        <w:rPr>
          <w:rFonts w:ascii="Times New Roman" w:eastAsia="Times New Roman" w:hAnsi="Times New Roman" w:cs="Times New Roman"/>
          <w:color w:val="000000"/>
          <w:sz w:val="24"/>
          <w:szCs w:val="24"/>
          <w:lang w:eastAsia="ru-RU"/>
        </w:rPr>
        <w:t xml:space="preserve"> тыс. рублей, или </w:t>
      </w:r>
      <w:r>
        <w:rPr>
          <w:rFonts w:ascii="Times New Roman" w:eastAsia="Times New Roman" w:hAnsi="Times New Roman" w:cs="Times New Roman"/>
          <w:color w:val="000000"/>
          <w:sz w:val="24"/>
          <w:szCs w:val="24"/>
          <w:lang w:eastAsia="ru-RU"/>
        </w:rPr>
        <w:t>0,5</w:t>
      </w:r>
      <w:r w:rsidRPr="001A299F">
        <w:rPr>
          <w:rFonts w:ascii="Times New Roman" w:eastAsia="Times New Roman" w:hAnsi="Times New Roman" w:cs="Times New Roman"/>
          <w:color w:val="000000"/>
          <w:sz w:val="24"/>
          <w:szCs w:val="24"/>
          <w:lang w:eastAsia="ru-RU"/>
        </w:rPr>
        <w:t xml:space="preserve"> процента.</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Налоговые и неналоговые доходы поступили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в консолидированный бюджет области в сумме </w:t>
      </w:r>
      <w:r>
        <w:rPr>
          <w:rFonts w:ascii="Times New Roman" w:eastAsia="Times New Roman" w:hAnsi="Times New Roman" w:cs="Times New Roman"/>
          <w:sz w:val="24"/>
          <w:szCs w:val="24"/>
          <w:lang w:eastAsia="ru-RU"/>
        </w:rPr>
        <w:t>47811453,3</w:t>
      </w:r>
      <w:r w:rsidRPr="001A299F">
        <w:rPr>
          <w:rFonts w:ascii="Times New Roman" w:eastAsia="Times New Roman" w:hAnsi="Times New Roman" w:cs="Times New Roman"/>
          <w:sz w:val="24"/>
          <w:szCs w:val="24"/>
          <w:lang w:eastAsia="ru-RU"/>
        </w:rPr>
        <w:t xml:space="preserve"> тыс. рублей, что на </w:t>
      </w:r>
      <w:r>
        <w:rPr>
          <w:rFonts w:ascii="Times New Roman" w:eastAsia="Times New Roman" w:hAnsi="Times New Roman" w:cs="Times New Roman"/>
          <w:sz w:val="24"/>
          <w:szCs w:val="24"/>
          <w:lang w:eastAsia="ru-RU"/>
        </w:rPr>
        <w:t>3252442,0</w:t>
      </w:r>
      <w:r w:rsidRPr="001A299F">
        <w:rPr>
          <w:rFonts w:ascii="Times New Roman" w:eastAsia="Times New Roman" w:hAnsi="Times New Roman" w:cs="Times New Roman"/>
          <w:sz w:val="24"/>
          <w:szCs w:val="24"/>
          <w:lang w:eastAsia="ru-RU"/>
        </w:rPr>
        <w:t xml:space="preserve"> тыс. рублей, или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1A299F">
        <w:rPr>
          <w:rFonts w:ascii="Times New Roman" w:eastAsia="Times New Roman" w:hAnsi="Times New Roman" w:cs="Times New Roman"/>
          <w:sz w:val="24"/>
          <w:szCs w:val="24"/>
          <w:lang w:eastAsia="ru-RU"/>
        </w:rPr>
        <w:t xml:space="preserve"> процента выше уровня поступлений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Доля налоговых и неналоговых доходов консолидированного бюджета области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 xml:space="preserve">увеличилась </w:t>
      </w:r>
      <w:r w:rsidRPr="001A299F">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5,2</w:t>
      </w:r>
      <w:r w:rsidRPr="001A299F">
        <w:rPr>
          <w:rFonts w:ascii="Times New Roman" w:eastAsia="Times New Roman" w:hAnsi="Times New Roman" w:cs="Times New Roman"/>
          <w:sz w:val="24"/>
          <w:szCs w:val="24"/>
          <w:lang w:eastAsia="ru-RU"/>
        </w:rPr>
        <w:t xml:space="preserve"> процента и составила </w:t>
      </w:r>
      <w:r>
        <w:rPr>
          <w:rFonts w:ascii="Times New Roman" w:eastAsia="Times New Roman" w:hAnsi="Times New Roman" w:cs="Times New Roman"/>
          <w:sz w:val="24"/>
          <w:szCs w:val="24"/>
          <w:lang w:eastAsia="ru-RU"/>
        </w:rPr>
        <w:t xml:space="preserve">82,3 </w:t>
      </w:r>
      <w:r w:rsidRPr="001A299F">
        <w:rPr>
          <w:rFonts w:ascii="Times New Roman" w:eastAsia="Times New Roman" w:hAnsi="Times New Roman" w:cs="Times New Roman"/>
          <w:sz w:val="24"/>
          <w:szCs w:val="24"/>
          <w:lang w:eastAsia="ru-RU"/>
        </w:rPr>
        <w:t xml:space="preserve">процента в общем объеме доходов консолидированного бюджета области. Доля безвозмездных поступлений соответственно </w:t>
      </w:r>
      <w:r>
        <w:rPr>
          <w:rFonts w:ascii="Times New Roman" w:eastAsia="Times New Roman" w:hAnsi="Times New Roman" w:cs="Times New Roman"/>
          <w:sz w:val="24"/>
          <w:szCs w:val="24"/>
          <w:lang w:eastAsia="ru-RU"/>
        </w:rPr>
        <w:t xml:space="preserve">уменьшилась </w:t>
      </w:r>
      <w:r w:rsidRPr="001A299F">
        <w:rPr>
          <w:rFonts w:ascii="Times New Roman" w:eastAsia="Times New Roman" w:hAnsi="Times New Roman" w:cs="Times New Roman"/>
          <w:sz w:val="24"/>
          <w:szCs w:val="24"/>
          <w:lang w:eastAsia="ru-RU"/>
        </w:rPr>
        <w:t xml:space="preserve">на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и составила </w:t>
      </w:r>
      <w:r>
        <w:rPr>
          <w:rFonts w:ascii="Times New Roman" w:eastAsia="Times New Roman" w:hAnsi="Times New Roman" w:cs="Times New Roman"/>
          <w:sz w:val="24"/>
          <w:szCs w:val="24"/>
          <w:lang w:eastAsia="ru-RU"/>
        </w:rPr>
        <w:t>17</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9C45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99F">
        <w:rPr>
          <w:rFonts w:ascii="Times New Roman" w:eastAsia="Times New Roman" w:hAnsi="Times New Roman" w:cs="Times New Roman"/>
          <w:b/>
          <w:noProof/>
          <w:sz w:val="20"/>
          <w:szCs w:val="20"/>
          <w:lang w:eastAsia="ru-RU"/>
        </w:rPr>
        <w:drawing>
          <wp:inline distT="0" distB="0" distL="0" distR="0" wp14:anchorId="27FE2456" wp14:editId="5BC4B2F5">
            <wp:extent cx="6134100" cy="29337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45F8" w:rsidRPr="001A299F" w:rsidRDefault="009C45F8" w:rsidP="009C45F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9C45F8">
        <w:rPr>
          <w:rFonts w:ascii="Times New Roman" w:eastAsia="Times New Roman" w:hAnsi="Times New Roman" w:cs="Times New Roman"/>
          <w:b/>
          <w:sz w:val="24"/>
          <w:szCs w:val="24"/>
          <w:lang w:eastAsia="ru-RU"/>
        </w:rPr>
        <w:t>Рис. 13</w:t>
      </w:r>
      <w:r w:rsidRPr="009C45F8">
        <w:rPr>
          <w:rFonts w:ascii="Times New Roman" w:eastAsia="Times New Roman" w:hAnsi="Times New Roman" w:cs="Times New Roman"/>
          <w:sz w:val="24"/>
          <w:szCs w:val="24"/>
          <w:lang w:eastAsia="ru-RU"/>
        </w:rPr>
        <w:t xml:space="preserve"> </w:t>
      </w:r>
      <w:r w:rsidRPr="00FE08FC">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
          <w:color w:val="000000"/>
          <w:sz w:val="24"/>
          <w:szCs w:val="24"/>
          <w:lang w:eastAsia="ru-RU"/>
        </w:rPr>
        <w:t>Результаты исполнения консолидированного бюджета Амурской области за 201</w:t>
      </w:r>
      <w:r>
        <w:rPr>
          <w:rFonts w:ascii="Times New Roman" w:eastAsia="Times New Roman" w:hAnsi="Times New Roman" w:cs="Times New Roman"/>
          <w:b/>
          <w:color w:val="000000"/>
          <w:sz w:val="24"/>
          <w:szCs w:val="24"/>
          <w:lang w:eastAsia="ru-RU"/>
        </w:rPr>
        <w:t>3</w:t>
      </w:r>
      <w:r w:rsidRPr="001A299F">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7</w:t>
      </w:r>
      <w:r w:rsidRPr="001A299F">
        <w:rPr>
          <w:rFonts w:ascii="Times New Roman" w:eastAsia="Times New Roman" w:hAnsi="Times New Roman" w:cs="Times New Roman"/>
          <w:b/>
          <w:color w:val="000000"/>
          <w:sz w:val="24"/>
          <w:szCs w:val="24"/>
          <w:lang w:eastAsia="ru-RU"/>
        </w:rPr>
        <w:t xml:space="preserve"> годы, млн. руб.</w:t>
      </w:r>
    </w:p>
    <w:p w:rsidR="009C45F8" w:rsidRPr="001A299F" w:rsidRDefault="009C45F8" w:rsidP="009C45F8">
      <w:pPr>
        <w:spacing w:after="0" w:line="240" w:lineRule="auto"/>
        <w:ind w:firstLine="709"/>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Уровень исполнения за 201</w:t>
      </w:r>
      <w:r>
        <w:rPr>
          <w:rFonts w:ascii="Times New Roman" w:eastAsia="Times New Roman" w:hAnsi="Times New Roman" w:cs="Times New Roman"/>
          <w:spacing w:val="6"/>
          <w:sz w:val="24"/>
          <w:szCs w:val="24"/>
          <w:lang w:eastAsia="ru-RU"/>
        </w:rPr>
        <w:t>7</w:t>
      </w:r>
      <w:r w:rsidRPr="001A299F">
        <w:rPr>
          <w:rFonts w:ascii="Times New Roman" w:eastAsia="Times New Roman" w:hAnsi="Times New Roman" w:cs="Times New Roman"/>
          <w:spacing w:val="6"/>
          <w:sz w:val="24"/>
          <w:szCs w:val="24"/>
          <w:lang w:eastAsia="ru-RU"/>
        </w:rPr>
        <w:t xml:space="preserve"> год по налоговым и неналоговым доходам консолидированного бюджета области составляет </w:t>
      </w:r>
      <w:r>
        <w:rPr>
          <w:rFonts w:ascii="Times New Roman" w:eastAsia="Times New Roman" w:hAnsi="Times New Roman" w:cs="Times New Roman"/>
          <w:spacing w:val="6"/>
          <w:sz w:val="24"/>
          <w:szCs w:val="24"/>
          <w:lang w:eastAsia="ru-RU"/>
        </w:rPr>
        <w:t>100</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6</w:t>
      </w:r>
      <w:r w:rsidRPr="001A299F">
        <w:rPr>
          <w:rFonts w:ascii="Times New Roman" w:eastAsia="Times New Roman" w:hAnsi="Times New Roman" w:cs="Times New Roman"/>
          <w:spacing w:val="6"/>
          <w:sz w:val="24"/>
          <w:szCs w:val="24"/>
          <w:lang w:eastAsia="ru-RU"/>
        </w:rPr>
        <w:t xml:space="preserve"> процента плановых назначений.</w:t>
      </w:r>
    </w:p>
    <w:p w:rsidR="009C45F8" w:rsidRPr="001A299F" w:rsidRDefault="009C45F8" w:rsidP="009C45F8">
      <w:pPr>
        <w:spacing w:after="0" w:line="240" w:lineRule="auto"/>
        <w:ind w:firstLine="709"/>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В 201</w:t>
      </w:r>
      <w:r>
        <w:rPr>
          <w:rFonts w:ascii="Times New Roman" w:eastAsia="Times New Roman" w:hAnsi="Times New Roman" w:cs="Times New Roman"/>
          <w:spacing w:val="6"/>
          <w:sz w:val="24"/>
          <w:szCs w:val="24"/>
          <w:lang w:eastAsia="ru-RU"/>
        </w:rPr>
        <w:t>7</w:t>
      </w:r>
      <w:r w:rsidRPr="001A299F">
        <w:rPr>
          <w:rFonts w:ascii="Times New Roman" w:eastAsia="Times New Roman" w:hAnsi="Times New Roman" w:cs="Times New Roman"/>
          <w:spacing w:val="6"/>
          <w:sz w:val="24"/>
          <w:szCs w:val="24"/>
          <w:lang w:eastAsia="ru-RU"/>
        </w:rPr>
        <w:t xml:space="preserve"> году поступления в консолидированный бюджет Амурской области обеспечены, в основном, за счет следующих налогов:</w:t>
      </w:r>
    </w:p>
    <w:p w:rsidR="009C45F8" w:rsidRPr="001A299F"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налога на доходы физических лиц –</w:t>
      </w:r>
      <w:r>
        <w:rPr>
          <w:rFonts w:ascii="Times New Roman" w:eastAsia="Times New Roman" w:hAnsi="Times New Roman" w:cs="Times New Roman"/>
          <w:spacing w:val="6"/>
          <w:sz w:val="24"/>
          <w:szCs w:val="20"/>
          <w:lang w:eastAsia="ru-RU"/>
        </w:rPr>
        <w:t xml:space="preserve"> 17169270,</w:t>
      </w:r>
      <w:r w:rsidR="00491CF7">
        <w:rPr>
          <w:rFonts w:ascii="Times New Roman" w:eastAsia="Times New Roman" w:hAnsi="Times New Roman" w:cs="Times New Roman"/>
          <w:spacing w:val="6"/>
          <w:sz w:val="24"/>
          <w:szCs w:val="20"/>
          <w:lang w:eastAsia="ru-RU"/>
        </w:rPr>
        <w:t>4</w:t>
      </w:r>
      <w:r w:rsidRPr="001A299F">
        <w:rPr>
          <w:rFonts w:ascii="Times New Roman" w:eastAsia="Times New Roman" w:hAnsi="Times New Roman" w:cs="Times New Roman"/>
          <w:spacing w:val="6"/>
          <w:sz w:val="24"/>
          <w:szCs w:val="20"/>
          <w:lang w:eastAsia="ru-RU"/>
        </w:rPr>
        <w:t xml:space="preserve"> тыс. рублей</w:t>
      </w:r>
      <w:r>
        <w:rPr>
          <w:rFonts w:ascii="Times New Roman" w:eastAsia="Times New Roman" w:hAnsi="Times New Roman" w:cs="Times New Roman"/>
          <w:spacing w:val="6"/>
          <w:sz w:val="24"/>
          <w:szCs w:val="20"/>
          <w:lang w:eastAsia="ru-RU"/>
        </w:rPr>
        <w:t xml:space="preserve"> (уровень исполнения – 100,3 процента плановых назначений)</w:t>
      </w:r>
      <w:r w:rsidRPr="001A299F">
        <w:rPr>
          <w:rFonts w:ascii="Times New Roman" w:eastAsia="Times New Roman" w:hAnsi="Times New Roman" w:cs="Times New Roman"/>
          <w:spacing w:val="6"/>
          <w:sz w:val="24"/>
          <w:szCs w:val="20"/>
          <w:lang w:eastAsia="ru-RU"/>
        </w:rPr>
        <w:t xml:space="preserve">, или </w:t>
      </w:r>
      <w:r>
        <w:rPr>
          <w:rFonts w:ascii="Times New Roman" w:eastAsia="Times New Roman" w:hAnsi="Times New Roman" w:cs="Times New Roman"/>
          <w:spacing w:val="6"/>
          <w:sz w:val="24"/>
          <w:szCs w:val="20"/>
          <w:lang w:eastAsia="ru-RU"/>
        </w:rPr>
        <w:t>35</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9</w:t>
      </w:r>
      <w:r w:rsidRPr="001A299F">
        <w:rPr>
          <w:rFonts w:ascii="Times New Roman" w:eastAsia="Times New Roman" w:hAnsi="Times New Roman" w:cs="Times New Roman"/>
          <w:spacing w:val="6"/>
          <w:sz w:val="24"/>
          <w:szCs w:val="20"/>
          <w:lang w:eastAsia="ru-RU"/>
        </w:rPr>
        <w:t xml:space="preserve"> процента в объеме поступивших налоговых и неналоговых доходов консолидированного бюджета области. Прирост объема поступлений к уровню прошлого года</w:t>
      </w:r>
      <w:r>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 xml:space="preserve">составляет </w:t>
      </w:r>
      <w:r>
        <w:rPr>
          <w:rFonts w:ascii="Times New Roman" w:eastAsia="Times New Roman" w:hAnsi="Times New Roman" w:cs="Times New Roman"/>
          <w:spacing w:val="6"/>
          <w:sz w:val="24"/>
          <w:szCs w:val="20"/>
          <w:lang w:eastAsia="ru-RU"/>
        </w:rPr>
        <w:t>1423197,3</w:t>
      </w:r>
      <w:r w:rsidRPr="001A299F">
        <w:rPr>
          <w:rFonts w:ascii="Times New Roman" w:eastAsia="Times New Roman" w:hAnsi="Times New Roman" w:cs="Times New Roman"/>
          <w:spacing w:val="6"/>
          <w:sz w:val="24"/>
          <w:szCs w:val="20"/>
          <w:lang w:eastAsia="ru-RU"/>
        </w:rPr>
        <w:t xml:space="preserve"> тыс. рублей, или </w:t>
      </w:r>
      <w:r>
        <w:rPr>
          <w:rFonts w:ascii="Times New Roman" w:eastAsia="Times New Roman" w:hAnsi="Times New Roman" w:cs="Times New Roman"/>
          <w:spacing w:val="6"/>
          <w:sz w:val="24"/>
          <w:szCs w:val="20"/>
          <w:lang w:eastAsia="ru-RU"/>
        </w:rPr>
        <w:t>9</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0</w:t>
      </w:r>
      <w:r w:rsidRPr="001A299F">
        <w:rPr>
          <w:rFonts w:ascii="Times New Roman" w:eastAsia="Times New Roman" w:hAnsi="Times New Roman" w:cs="Times New Roman"/>
          <w:spacing w:val="6"/>
          <w:sz w:val="24"/>
          <w:szCs w:val="20"/>
          <w:lang w:eastAsia="ru-RU"/>
        </w:rPr>
        <w:t xml:space="preserve"> процент</w:t>
      </w:r>
      <w:r>
        <w:rPr>
          <w:rFonts w:ascii="Times New Roman" w:eastAsia="Times New Roman" w:hAnsi="Times New Roman" w:cs="Times New Roman"/>
          <w:spacing w:val="6"/>
          <w:sz w:val="24"/>
          <w:szCs w:val="20"/>
          <w:lang w:eastAsia="ru-RU"/>
        </w:rPr>
        <w:t>ов</w:t>
      </w:r>
      <w:r w:rsidRPr="001A299F">
        <w:rPr>
          <w:rFonts w:ascii="Times New Roman" w:eastAsia="Times New Roman" w:hAnsi="Times New Roman" w:cs="Times New Roman"/>
          <w:spacing w:val="6"/>
          <w:sz w:val="24"/>
          <w:szCs w:val="20"/>
          <w:lang w:eastAsia="ru-RU"/>
        </w:rPr>
        <w:t>;</w:t>
      </w:r>
    </w:p>
    <w:p w:rsidR="009C45F8" w:rsidRPr="001A299F"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налога на прибыль организаций</w:t>
      </w:r>
      <w:r>
        <w:rPr>
          <w:rFonts w:ascii="Times New Roman" w:eastAsia="Times New Roman" w:hAnsi="Times New Roman" w:cs="Times New Roman"/>
          <w:spacing w:val="6"/>
          <w:sz w:val="24"/>
          <w:szCs w:val="24"/>
          <w:lang w:eastAsia="ru-RU"/>
        </w:rPr>
        <w:t xml:space="preserve"> </w:t>
      </w:r>
      <w:r w:rsidRPr="001A299F">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t>10540833,6</w:t>
      </w:r>
      <w:r w:rsidRPr="001A299F">
        <w:rPr>
          <w:rFonts w:ascii="Times New Roman" w:eastAsia="Times New Roman" w:hAnsi="Times New Roman" w:cs="Times New Roman"/>
          <w:spacing w:val="6"/>
          <w:sz w:val="24"/>
          <w:szCs w:val="24"/>
          <w:lang w:eastAsia="ru-RU"/>
        </w:rPr>
        <w:t xml:space="preserve"> тыс. рублей</w:t>
      </w:r>
      <w:r>
        <w:rPr>
          <w:rFonts w:ascii="Times New Roman" w:eastAsia="Times New Roman" w:hAnsi="Times New Roman" w:cs="Times New Roman"/>
          <w:spacing w:val="6"/>
          <w:sz w:val="24"/>
          <w:szCs w:val="24"/>
          <w:lang w:eastAsia="ru-RU"/>
        </w:rPr>
        <w:t xml:space="preserve"> (уровень исполнения – 97,9 процента плановых назначений)</w:t>
      </w:r>
      <w:r w:rsidRPr="001A299F">
        <w:rPr>
          <w:rFonts w:ascii="Times New Roman" w:eastAsia="Times New Roman" w:hAnsi="Times New Roman" w:cs="Times New Roman"/>
          <w:spacing w:val="6"/>
          <w:sz w:val="24"/>
          <w:szCs w:val="24"/>
          <w:lang w:eastAsia="ru-RU"/>
        </w:rPr>
        <w:t>, или 2</w:t>
      </w:r>
      <w:r>
        <w:rPr>
          <w:rFonts w:ascii="Times New Roman" w:eastAsia="Times New Roman" w:hAnsi="Times New Roman" w:cs="Times New Roman"/>
          <w:spacing w:val="6"/>
          <w:sz w:val="24"/>
          <w:szCs w:val="24"/>
          <w:lang w:eastAsia="ru-RU"/>
        </w:rPr>
        <w:t>2</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0</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 </w:t>
      </w:r>
      <w:r w:rsidRPr="001A299F">
        <w:rPr>
          <w:rFonts w:ascii="Times New Roman" w:eastAsia="Times New Roman" w:hAnsi="Times New Roman" w:cs="Times New Roman"/>
          <w:spacing w:val="6"/>
          <w:sz w:val="24"/>
          <w:szCs w:val="24"/>
          <w:lang w:eastAsia="ru-RU"/>
        </w:rPr>
        <w:lastRenderedPageBreak/>
        <w:t xml:space="preserve">Прирост объема поступлений к уровню прошлого года составляет </w:t>
      </w:r>
      <w:r>
        <w:rPr>
          <w:rFonts w:ascii="Times New Roman" w:eastAsia="Times New Roman" w:hAnsi="Times New Roman" w:cs="Times New Roman"/>
          <w:spacing w:val="6"/>
          <w:sz w:val="24"/>
          <w:szCs w:val="24"/>
          <w:lang w:eastAsia="ru-RU"/>
        </w:rPr>
        <w:br/>
        <w:t>569964,4</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5</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7</w:t>
      </w:r>
      <w:r w:rsidRPr="001A299F">
        <w:rPr>
          <w:rFonts w:ascii="Times New Roman" w:eastAsia="Times New Roman" w:hAnsi="Times New Roman" w:cs="Times New Roman"/>
          <w:spacing w:val="6"/>
          <w:sz w:val="24"/>
          <w:szCs w:val="24"/>
          <w:lang w:eastAsia="ru-RU"/>
        </w:rPr>
        <w:t xml:space="preserve"> процента;</w:t>
      </w:r>
    </w:p>
    <w:p w:rsidR="009C45F8" w:rsidRPr="001A299F"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налогов на имущество –</w:t>
      </w:r>
      <w:r>
        <w:rPr>
          <w:rFonts w:ascii="Times New Roman" w:eastAsia="Times New Roman" w:hAnsi="Times New Roman" w:cs="Times New Roman"/>
          <w:spacing w:val="6"/>
          <w:sz w:val="24"/>
          <w:szCs w:val="24"/>
          <w:lang w:eastAsia="ru-RU"/>
        </w:rPr>
        <w:t xml:space="preserve"> 9588595,5 </w:t>
      </w:r>
      <w:r w:rsidRPr="001A299F">
        <w:rPr>
          <w:rFonts w:ascii="Times New Roman" w:eastAsia="Times New Roman" w:hAnsi="Times New Roman" w:cs="Times New Roman"/>
          <w:spacing w:val="6"/>
          <w:sz w:val="24"/>
          <w:szCs w:val="24"/>
          <w:lang w:eastAsia="ru-RU"/>
        </w:rPr>
        <w:t>тыс. рублей</w:t>
      </w:r>
      <w:r>
        <w:rPr>
          <w:rFonts w:ascii="Times New Roman" w:eastAsia="Times New Roman" w:hAnsi="Times New Roman" w:cs="Times New Roman"/>
          <w:spacing w:val="6"/>
          <w:sz w:val="24"/>
          <w:szCs w:val="24"/>
          <w:lang w:eastAsia="ru-RU"/>
        </w:rPr>
        <w:t xml:space="preserve"> (уровень исполнения –</w:t>
      </w:r>
      <w:r>
        <w:rPr>
          <w:rFonts w:ascii="Times New Roman" w:eastAsia="Times New Roman" w:hAnsi="Times New Roman" w:cs="Times New Roman"/>
          <w:spacing w:val="6"/>
          <w:sz w:val="24"/>
          <w:szCs w:val="24"/>
          <w:lang w:eastAsia="ru-RU"/>
        </w:rPr>
        <w:br/>
        <w:t>98,3 процента плановых назначений)</w:t>
      </w:r>
      <w:r w:rsidRPr="001A299F">
        <w:rPr>
          <w:rFonts w:ascii="Times New Roman" w:eastAsia="Times New Roman" w:hAnsi="Times New Roman" w:cs="Times New Roman"/>
          <w:spacing w:val="6"/>
          <w:sz w:val="24"/>
          <w:szCs w:val="24"/>
          <w:lang w:eastAsia="ru-RU"/>
        </w:rPr>
        <w:t xml:space="preserve">, или </w:t>
      </w:r>
      <w:r>
        <w:rPr>
          <w:rFonts w:ascii="Times New Roman" w:eastAsia="Times New Roman" w:hAnsi="Times New Roman" w:cs="Times New Roman"/>
          <w:spacing w:val="6"/>
          <w:sz w:val="24"/>
          <w:szCs w:val="24"/>
          <w:lang w:eastAsia="ru-RU"/>
        </w:rPr>
        <w:t>20</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0</w:t>
      </w:r>
      <w:r w:rsidRPr="001A299F">
        <w:rPr>
          <w:rFonts w:ascii="Times New Roman" w:eastAsia="Times New Roman" w:hAnsi="Times New Roman" w:cs="Times New Roman"/>
          <w:spacing w:val="6"/>
          <w:sz w:val="24"/>
          <w:szCs w:val="24"/>
          <w:lang w:eastAsia="ru-RU"/>
        </w:rPr>
        <w:t xml:space="preserve"> процент</w:t>
      </w:r>
      <w:r>
        <w:rPr>
          <w:rFonts w:ascii="Times New Roman" w:eastAsia="Times New Roman" w:hAnsi="Times New Roman" w:cs="Times New Roman"/>
          <w:spacing w:val="6"/>
          <w:sz w:val="24"/>
          <w:szCs w:val="24"/>
          <w:lang w:eastAsia="ru-RU"/>
        </w:rPr>
        <w:t>ов</w:t>
      </w:r>
      <w:r w:rsidRPr="001A299F">
        <w:rPr>
          <w:rFonts w:ascii="Times New Roman" w:eastAsia="Times New Roman" w:hAnsi="Times New Roman" w:cs="Times New Roman"/>
          <w:spacing w:val="6"/>
          <w:sz w:val="24"/>
          <w:szCs w:val="24"/>
          <w:lang w:eastAsia="ru-RU"/>
        </w:rPr>
        <w:t xml:space="preserve"> в объеме поступивших налоговых и неналоговых доходов консолидированного бюджета области. Наибольший объем поступлений по данной группе налогов приходится на налог на имущество организаций – </w:t>
      </w:r>
      <w:r>
        <w:rPr>
          <w:rFonts w:ascii="Times New Roman" w:eastAsia="Times New Roman" w:hAnsi="Times New Roman" w:cs="Times New Roman"/>
          <w:spacing w:val="6"/>
          <w:sz w:val="24"/>
          <w:szCs w:val="24"/>
          <w:lang w:eastAsia="ru-RU"/>
        </w:rPr>
        <w:t>74</w:t>
      </w:r>
      <w:r w:rsidR="00491CF7">
        <w:rPr>
          <w:rFonts w:ascii="Times New Roman" w:eastAsia="Times New Roman" w:hAnsi="Times New Roman" w:cs="Times New Roman"/>
          <w:spacing w:val="6"/>
          <w:sz w:val="24"/>
          <w:szCs w:val="24"/>
          <w:lang w:eastAsia="ru-RU"/>
        </w:rPr>
        <w:t>3</w:t>
      </w:r>
      <w:r>
        <w:rPr>
          <w:rFonts w:ascii="Times New Roman" w:eastAsia="Times New Roman" w:hAnsi="Times New Roman" w:cs="Times New Roman"/>
          <w:spacing w:val="6"/>
          <w:sz w:val="24"/>
          <w:szCs w:val="24"/>
          <w:lang w:eastAsia="ru-RU"/>
        </w:rPr>
        <w:t>1760,9</w:t>
      </w:r>
      <w:r w:rsidRPr="001A299F">
        <w:rPr>
          <w:rFonts w:ascii="Times New Roman" w:eastAsia="Times New Roman" w:hAnsi="Times New Roman" w:cs="Times New Roman"/>
          <w:spacing w:val="6"/>
          <w:sz w:val="24"/>
          <w:szCs w:val="24"/>
          <w:lang w:eastAsia="ru-RU"/>
        </w:rPr>
        <w:t xml:space="preserve"> тыс. рублей. Прирост объема поступлений </w:t>
      </w:r>
      <w:r>
        <w:rPr>
          <w:rFonts w:ascii="Times New Roman" w:eastAsia="Times New Roman" w:hAnsi="Times New Roman" w:cs="Times New Roman"/>
          <w:spacing w:val="6"/>
          <w:sz w:val="24"/>
          <w:szCs w:val="24"/>
          <w:lang w:eastAsia="ru-RU"/>
        </w:rPr>
        <w:t xml:space="preserve">по налогам на имущество </w:t>
      </w:r>
      <w:r w:rsidRPr="001A299F">
        <w:rPr>
          <w:rFonts w:ascii="Times New Roman" w:eastAsia="Times New Roman" w:hAnsi="Times New Roman" w:cs="Times New Roman"/>
          <w:spacing w:val="6"/>
          <w:sz w:val="24"/>
          <w:szCs w:val="24"/>
          <w:lang w:eastAsia="ru-RU"/>
        </w:rPr>
        <w:t xml:space="preserve">к уровню прошлого года составляет </w:t>
      </w:r>
      <w:r>
        <w:rPr>
          <w:rFonts w:ascii="Times New Roman" w:eastAsia="Times New Roman" w:hAnsi="Times New Roman" w:cs="Times New Roman"/>
          <w:spacing w:val="6"/>
          <w:sz w:val="24"/>
          <w:szCs w:val="24"/>
          <w:lang w:eastAsia="ru-RU"/>
        </w:rPr>
        <w:t>1224925,0</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br/>
        <w:t>14,6</w:t>
      </w:r>
      <w:r w:rsidRPr="001A299F">
        <w:rPr>
          <w:rFonts w:ascii="Times New Roman" w:eastAsia="Times New Roman" w:hAnsi="Times New Roman" w:cs="Times New Roman"/>
          <w:spacing w:val="6"/>
          <w:sz w:val="24"/>
          <w:szCs w:val="24"/>
          <w:lang w:eastAsia="ru-RU"/>
        </w:rPr>
        <w:t xml:space="preserve"> процента;</w:t>
      </w:r>
    </w:p>
    <w:p w:rsidR="009C45F8"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1A299F">
        <w:rPr>
          <w:rFonts w:ascii="Times New Roman" w:eastAsia="Times New Roman" w:hAnsi="Times New Roman" w:cs="Times New Roman"/>
          <w:spacing w:val="6"/>
          <w:sz w:val="24"/>
          <w:szCs w:val="24"/>
          <w:lang w:eastAsia="ru-RU"/>
        </w:rPr>
        <w:t>акцизов по подакцизным товарам (продукции), производимым на территории Российской Федерации –</w:t>
      </w:r>
      <w:r>
        <w:rPr>
          <w:rFonts w:ascii="Times New Roman" w:eastAsia="Times New Roman" w:hAnsi="Times New Roman" w:cs="Times New Roman"/>
          <w:spacing w:val="6"/>
          <w:sz w:val="24"/>
          <w:szCs w:val="24"/>
          <w:lang w:eastAsia="ru-RU"/>
        </w:rPr>
        <w:t xml:space="preserve"> 2449227,0 </w:t>
      </w:r>
      <w:r w:rsidRPr="001A299F">
        <w:rPr>
          <w:rFonts w:ascii="Times New Roman" w:eastAsia="Times New Roman" w:hAnsi="Times New Roman" w:cs="Times New Roman"/>
          <w:spacing w:val="6"/>
          <w:sz w:val="24"/>
          <w:szCs w:val="24"/>
          <w:lang w:eastAsia="ru-RU"/>
        </w:rPr>
        <w:t>тыс. рублей</w:t>
      </w:r>
      <w:r>
        <w:rPr>
          <w:rFonts w:ascii="Times New Roman" w:eastAsia="Times New Roman" w:hAnsi="Times New Roman" w:cs="Times New Roman"/>
          <w:spacing w:val="6"/>
          <w:sz w:val="24"/>
          <w:szCs w:val="24"/>
          <w:lang w:eastAsia="ru-RU"/>
        </w:rPr>
        <w:t xml:space="preserve"> (уровень исполнения – 101,3 процента плановых назначений)</w:t>
      </w:r>
      <w:r w:rsidRPr="001A299F">
        <w:rPr>
          <w:rFonts w:ascii="Times New Roman" w:eastAsia="Times New Roman" w:hAnsi="Times New Roman" w:cs="Times New Roman"/>
          <w:spacing w:val="6"/>
          <w:sz w:val="24"/>
          <w:szCs w:val="24"/>
          <w:lang w:eastAsia="ru-RU"/>
        </w:rPr>
        <w:t xml:space="preserve">, или </w:t>
      </w:r>
      <w:r>
        <w:rPr>
          <w:rFonts w:ascii="Times New Roman" w:eastAsia="Times New Roman" w:hAnsi="Times New Roman" w:cs="Times New Roman"/>
          <w:spacing w:val="6"/>
          <w:sz w:val="24"/>
          <w:szCs w:val="24"/>
          <w:lang w:eastAsia="ru-RU"/>
        </w:rPr>
        <w:t>5</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1</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 </w:t>
      </w:r>
      <w:r>
        <w:rPr>
          <w:rFonts w:ascii="Times New Roman" w:eastAsia="Times New Roman" w:hAnsi="Times New Roman" w:cs="Times New Roman"/>
          <w:spacing w:val="6"/>
          <w:sz w:val="24"/>
          <w:szCs w:val="24"/>
          <w:lang w:eastAsia="ru-RU"/>
        </w:rPr>
        <w:t xml:space="preserve">По сравнению с прошлым годом наблюдается уменьшение </w:t>
      </w:r>
      <w:r w:rsidRPr="001A299F">
        <w:rPr>
          <w:rFonts w:ascii="Times New Roman" w:eastAsia="Times New Roman" w:hAnsi="Times New Roman" w:cs="Times New Roman"/>
          <w:spacing w:val="6"/>
          <w:sz w:val="24"/>
          <w:szCs w:val="24"/>
          <w:lang w:eastAsia="ru-RU"/>
        </w:rPr>
        <w:t xml:space="preserve">объема поступлений </w:t>
      </w:r>
      <w:r>
        <w:rPr>
          <w:rFonts w:ascii="Times New Roman" w:eastAsia="Times New Roman" w:hAnsi="Times New Roman" w:cs="Times New Roman"/>
          <w:spacing w:val="6"/>
          <w:sz w:val="24"/>
          <w:szCs w:val="24"/>
          <w:lang w:eastAsia="ru-RU"/>
        </w:rPr>
        <w:t>на 592045,5 тыс. рублей</w:t>
      </w:r>
      <w:r w:rsidRPr="001A299F">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br/>
      </w:r>
      <w:r w:rsidRPr="001A299F">
        <w:rPr>
          <w:rFonts w:ascii="Times New Roman" w:eastAsia="Times New Roman" w:hAnsi="Times New Roman" w:cs="Times New Roman"/>
          <w:spacing w:val="6"/>
          <w:sz w:val="24"/>
          <w:szCs w:val="24"/>
          <w:lang w:eastAsia="ru-RU"/>
        </w:rPr>
        <w:t xml:space="preserve">или </w:t>
      </w:r>
      <w:r>
        <w:rPr>
          <w:rFonts w:ascii="Times New Roman" w:eastAsia="Times New Roman" w:hAnsi="Times New Roman" w:cs="Times New Roman"/>
          <w:spacing w:val="6"/>
          <w:sz w:val="24"/>
          <w:szCs w:val="24"/>
          <w:lang w:eastAsia="ru-RU"/>
        </w:rPr>
        <w:t>19,5</w:t>
      </w:r>
      <w:r w:rsidRPr="001A299F">
        <w:rPr>
          <w:rFonts w:ascii="Times New Roman" w:eastAsia="Times New Roman" w:hAnsi="Times New Roman" w:cs="Times New Roman"/>
          <w:spacing w:val="6"/>
          <w:sz w:val="24"/>
          <w:szCs w:val="24"/>
          <w:lang w:eastAsia="ru-RU"/>
        </w:rPr>
        <w:t xml:space="preserve"> процента;</w:t>
      </w:r>
    </w:p>
    <w:p w:rsidR="009C45F8" w:rsidRPr="001A299F"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proofErr w:type="gramStart"/>
      <w:r w:rsidRPr="001A299F">
        <w:rPr>
          <w:rFonts w:ascii="Times New Roman" w:eastAsia="Times New Roman" w:hAnsi="Times New Roman" w:cs="Times New Roman"/>
          <w:spacing w:val="6"/>
          <w:sz w:val="24"/>
          <w:szCs w:val="24"/>
          <w:lang w:eastAsia="ru-RU"/>
        </w:rPr>
        <w:t>налогов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 –</w:t>
      </w:r>
      <w:r>
        <w:rPr>
          <w:rFonts w:ascii="Times New Roman" w:eastAsia="Times New Roman" w:hAnsi="Times New Roman" w:cs="Times New Roman"/>
          <w:spacing w:val="6"/>
          <w:sz w:val="24"/>
          <w:szCs w:val="24"/>
          <w:lang w:eastAsia="ru-RU"/>
        </w:rPr>
        <w:t xml:space="preserve"> 2514394,</w:t>
      </w:r>
      <w:r w:rsidR="00491CF7">
        <w:rPr>
          <w:rFonts w:ascii="Times New Roman" w:eastAsia="Times New Roman" w:hAnsi="Times New Roman" w:cs="Times New Roman"/>
          <w:spacing w:val="6"/>
          <w:sz w:val="24"/>
          <w:szCs w:val="24"/>
          <w:lang w:eastAsia="ru-RU"/>
        </w:rPr>
        <w:t>2</w:t>
      </w:r>
      <w:r>
        <w:rPr>
          <w:rFonts w:ascii="Times New Roman" w:eastAsia="Times New Roman" w:hAnsi="Times New Roman" w:cs="Times New Roman"/>
          <w:spacing w:val="6"/>
          <w:sz w:val="24"/>
          <w:szCs w:val="24"/>
          <w:lang w:eastAsia="ru-RU"/>
        </w:rPr>
        <w:t xml:space="preserve"> </w:t>
      </w:r>
      <w:r w:rsidRPr="001A299F">
        <w:rPr>
          <w:rFonts w:ascii="Times New Roman" w:eastAsia="Times New Roman" w:hAnsi="Times New Roman" w:cs="Times New Roman"/>
          <w:spacing w:val="6"/>
          <w:sz w:val="24"/>
          <w:szCs w:val="24"/>
          <w:lang w:eastAsia="ru-RU"/>
        </w:rPr>
        <w:t>тыс. рублей</w:t>
      </w:r>
      <w:r>
        <w:rPr>
          <w:rFonts w:ascii="Times New Roman" w:eastAsia="Times New Roman" w:hAnsi="Times New Roman" w:cs="Times New Roman"/>
          <w:spacing w:val="6"/>
          <w:sz w:val="24"/>
          <w:szCs w:val="24"/>
          <w:lang w:eastAsia="ru-RU"/>
        </w:rPr>
        <w:t xml:space="preserve"> (уровень исполнения – 99,0 процентов плановых назначений)</w:t>
      </w:r>
      <w:r w:rsidRPr="001A299F">
        <w:rPr>
          <w:rFonts w:ascii="Times New Roman" w:eastAsia="Times New Roman" w:hAnsi="Times New Roman" w:cs="Times New Roman"/>
          <w:spacing w:val="6"/>
          <w:sz w:val="24"/>
          <w:szCs w:val="24"/>
          <w:lang w:eastAsia="ru-RU"/>
        </w:rPr>
        <w:t>, или 5,</w:t>
      </w:r>
      <w:r>
        <w:rPr>
          <w:rFonts w:ascii="Times New Roman" w:eastAsia="Times New Roman" w:hAnsi="Times New Roman" w:cs="Times New Roman"/>
          <w:spacing w:val="6"/>
          <w:sz w:val="24"/>
          <w:szCs w:val="24"/>
          <w:lang w:eastAsia="ru-RU"/>
        </w:rPr>
        <w:t>3</w:t>
      </w:r>
      <w:r w:rsidRPr="001A299F">
        <w:rPr>
          <w:rFonts w:ascii="Times New Roman" w:eastAsia="Times New Roman" w:hAnsi="Times New Roman" w:cs="Times New Roman"/>
          <w:spacing w:val="6"/>
          <w:sz w:val="24"/>
          <w:szCs w:val="24"/>
          <w:lang w:eastAsia="ru-RU"/>
        </w:rPr>
        <w:t xml:space="preserve"> процента в объеме поступивших налоговых и неналоговых доходов консолидированного бюджета области.</w:t>
      </w:r>
      <w:proofErr w:type="gramEnd"/>
      <w:r w:rsidRPr="001A299F">
        <w:rPr>
          <w:rFonts w:ascii="Times New Roman" w:eastAsia="Times New Roman" w:hAnsi="Times New Roman" w:cs="Times New Roman"/>
          <w:spacing w:val="6"/>
          <w:sz w:val="24"/>
          <w:szCs w:val="24"/>
          <w:lang w:eastAsia="ru-RU"/>
        </w:rPr>
        <w:t xml:space="preserve"> Объем поступлений по налогу в 201</w:t>
      </w:r>
      <w:r>
        <w:rPr>
          <w:rFonts w:ascii="Times New Roman" w:eastAsia="Times New Roman" w:hAnsi="Times New Roman" w:cs="Times New Roman"/>
          <w:spacing w:val="6"/>
          <w:sz w:val="24"/>
          <w:szCs w:val="24"/>
          <w:lang w:eastAsia="ru-RU"/>
        </w:rPr>
        <w:t>7</w:t>
      </w:r>
      <w:r w:rsidRPr="001A299F">
        <w:rPr>
          <w:rFonts w:ascii="Times New Roman" w:eastAsia="Times New Roman" w:hAnsi="Times New Roman" w:cs="Times New Roman"/>
          <w:spacing w:val="6"/>
          <w:sz w:val="24"/>
          <w:szCs w:val="24"/>
          <w:lang w:eastAsia="ru-RU"/>
        </w:rPr>
        <w:t xml:space="preserve"> году выше объема поступлений 201</w:t>
      </w:r>
      <w:r>
        <w:rPr>
          <w:rFonts w:ascii="Times New Roman" w:eastAsia="Times New Roman" w:hAnsi="Times New Roman" w:cs="Times New Roman"/>
          <w:spacing w:val="6"/>
          <w:sz w:val="24"/>
          <w:szCs w:val="24"/>
          <w:lang w:eastAsia="ru-RU"/>
        </w:rPr>
        <w:t>6</w:t>
      </w:r>
      <w:r w:rsidRPr="001A299F">
        <w:rPr>
          <w:rFonts w:ascii="Times New Roman" w:eastAsia="Times New Roman" w:hAnsi="Times New Roman" w:cs="Times New Roman"/>
          <w:spacing w:val="6"/>
          <w:sz w:val="24"/>
          <w:szCs w:val="24"/>
          <w:lang w:eastAsia="ru-RU"/>
        </w:rPr>
        <w:t xml:space="preserve"> года на</w:t>
      </w:r>
      <w:r>
        <w:rPr>
          <w:rFonts w:ascii="Times New Roman" w:eastAsia="Times New Roman" w:hAnsi="Times New Roman" w:cs="Times New Roman"/>
          <w:spacing w:val="6"/>
          <w:sz w:val="24"/>
          <w:szCs w:val="24"/>
          <w:lang w:eastAsia="ru-RU"/>
        </w:rPr>
        <w:t xml:space="preserve"> 181264,</w:t>
      </w:r>
      <w:r w:rsidR="00491CF7">
        <w:rPr>
          <w:rFonts w:ascii="Times New Roman" w:eastAsia="Times New Roman" w:hAnsi="Times New Roman" w:cs="Times New Roman"/>
          <w:spacing w:val="6"/>
          <w:sz w:val="24"/>
          <w:szCs w:val="24"/>
          <w:lang w:eastAsia="ru-RU"/>
        </w:rPr>
        <w:t>9</w:t>
      </w:r>
      <w:r w:rsidRPr="001A299F">
        <w:rPr>
          <w:rFonts w:ascii="Times New Roman" w:eastAsia="Times New Roman" w:hAnsi="Times New Roman" w:cs="Times New Roman"/>
          <w:spacing w:val="6"/>
          <w:sz w:val="24"/>
          <w:szCs w:val="24"/>
          <w:lang w:eastAsia="ru-RU"/>
        </w:rPr>
        <w:t xml:space="preserve"> тыс. рублей, или </w:t>
      </w:r>
      <w:r>
        <w:rPr>
          <w:rFonts w:ascii="Times New Roman" w:eastAsia="Times New Roman" w:hAnsi="Times New Roman" w:cs="Times New Roman"/>
          <w:spacing w:val="6"/>
          <w:sz w:val="24"/>
          <w:szCs w:val="24"/>
          <w:lang w:eastAsia="ru-RU"/>
        </w:rPr>
        <w:t>7</w:t>
      </w:r>
      <w:r w:rsidRPr="001A299F">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8</w:t>
      </w:r>
      <w:r w:rsidRPr="001A299F">
        <w:rPr>
          <w:rFonts w:ascii="Times New Roman" w:eastAsia="Times New Roman" w:hAnsi="Times New Roman" w:cs="Times New Roman"/>
          <w:spacing w:val="6"/>
          <w:sz w:val="24"/>
          <w:szCs w:val="24"/>
          <w:lang w:eastAsia="ru-RU"/>
        </w:rPr>
        <w:t xml:space="preserve"> процента;</w:t>
      </w:r>
    </w:p>
    <w:p w:rsidR="009C45F8" w:rsidRPr="001A299F"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налогов, сборов и регулярных платежей за пользование природными</w:t>
      </w:r>
      <w:r w:rsidRPr="001A299F">
        <w:rPr>
          <w:rFonts w:ascii="Times New Roman" w:eastAsia="Times New Roman" w:hAnsi="Times New Roman" w:cs="Times New Roman"/>
          <w:spacing w:val="6"/>
          <w:sz w:val="24"/>
          <w:szCs w:val="20"/>
          <w:lang w:eastAsia="ru-RU"/>
        </w:rPr>
        <w:br/>
        <w:t>ресурсами</w:t>
      </w:r>
      <w:r>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 xml:space="preserve">– </w:t>
      </w:r>
      <w:r>
        <w:rPr>
          <w:rFonts w:ascii="Times New Roman" w:eastAsia="Times New Roman" w:hAnsi="Times New Roman" w:cs="Times New Roman"/>
          <w:spacing w:val="6"/>
          <w:sz w:val="24"/>
          <w:szCs w:val="20"/>
          <w:lang w:eastAsia="ru-RU"/>
        </w:rPr>
        <w:t>1594335,</w:t>
      </w:r>
      <w:r w:rsidR="00491CF7">
        <w:rPr>
          <w:rFonts w:ascii="Times New Roman" w:eastAsia="Times New Roman" w:hAnsi="Times New Roman" w:cs="Times New Roman"/>
          <w:spacing w:val="6"/>
          <w:sz w:val="24"/>
          <w:szCs w:val="20"/>
          <w:lang w:eastAsia="ru-RU"/>
        </w:rPr>
        <w:t>6</w:t>
      </w:r>
      <w:r>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тыс. рублей</w:t>
      </w:r>
      <w:r>
        <w:rPr>
          <w:rFonts w:ascii="Times New Roman" w:eastAsia="Times New Roman" w:hAnsi="Times New Roman" w:cs="Times New Roman"/>
          <w:spacing w:val="6"/>
          <w:sz w:val="24"/>
          <w:szCs w:val="20"/>
          <w:lang w:eastAsia="ru-RU"/>
        </w:rPr>
        <w:t xml:space="preserve"> (уровень исполнения – 137,4 процента плановых назначений)</w:t>
      </w:r>
      <w:r w:rsidRPr="001A299F">
        <w:rPr>
          <w:rFonts w:ascii="Times New Roman" w:eastAsia="Times New Roman" w:hAnsi="Times New Roman" w:cs="Times New Roman"/>
          <w:spacing w:val="6"/>
          <w:sz w:val="24"/>
          <w:szCs w:val="20"/>
          <w:lang w:eastAsia="ru-RU"/>
        </w:rPr>
        <w:t xml:space="preserve">, или </w:t>
      </w:r>
      <w:r>
        <w:rPr>
          <w:rFonts w:ascii="Times New Roman" w:eastAsia="Times New Roman" w:hAnsi="Times New Roman" w:cs="Times New Roman"/>
          <w:spacing w:val="6"/>
          <w:sz w:val="24"/>
          <w:szCs w:val="20"/>
          <w:lang w:eastAsia="ru-RU"/>
        </w:rPr>
        <w:t>3</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3</w:t>
      </w:r>
      <w:r w:rsidRPr="001A299F">
        <w:rPr>
          <w:rFonts w:ascii="Times New Roman" w:eastAsia="Times New Roman" w:hAnsi="Times New Roman" w:cs="Times New Roman"/>
          <w:spacing w:val="6"/>
          <w:sz w:val="24"/>
          <w:szCs w:val="20"/>
          <w:lang w:eastAsia="ru-RU"/>
        </w:rPr>
        <w:t xml:space="preserve"> процента в объеме поступивших налоговых и неналоговых доходов консолидированного бюджета области. По сравнению с прошлым годом по налогу наблюдается </w:t>
      </w:r>
      <w:r>
        <w:rPr>
          <w:rFonts w:ascii="Times New Roman" w:eastAsia="Times New Roman" w:hAnsi="Times New Roman" w:cs="Times New Roman"/>
          <w:spacing w:val="6"/>
          <w:sz w:val="24"/>
          <w:szCs w:val="20"/>
          <w:lang w:eastAsia="ru-RU"/>
        </w:rPr>
        <w:t>снижение</w:t>
      </w:r>
      <w:r w:rsidRPr="001A299F">
        <w:rPr>
          <w:rFonts w:ascii="Times New Roman" w:eastAsia="Times New Roman" w:hAnsi="Times New Roman" w:cs="Times New Roman"/>
          <w:spacing w:val="6"/>
          <w:sz w:val="24"/>
          <w:szCs w:val="20"/>
          <w:lang w:eastAsia="ru-RU"/>
        </w:rPr>
        <w:t xml:space="preserve"> объема поступлений на </w:t>
      </w:r>
      <w:r>
        <w:rPr>
          <w:rFonts w:ascii="Times New Roman" w:eastAsia="Times New Roman" w:hAnsi="Times New Roman" w:cs="Times New Roman"/>
          <w:spacing w:val="6"/>
          <w:sz w:val="24"/>
          <w:szCs w:val="20"/>
          <w:lang w:eastAsia="ru-RU"/>
        </w:rPr>
        <w:t>236661,</w:t>
      </w:r>
      <w:r w:rsidR="00491CF7">
        <w:rPr>
          <w:rFonts w:ascii="Times New Roman" w:eastAsia="Times New Roman" w:hAnsi="Times New Roman" w:cs="Times New Roman"/>
          <w:spacing w:val="6"/>
          <w:sz w:val="24"/>
          <w:szCs w:val="20"/>
          <w:lang w:eastAsia="ru-RU"/>
        </w:rPr>
        <w:t>9</w:t>
      </w:r>
      <w:r w:rsidRPr="001A299F">
        <w:rPr>
          <w:rFonts w:ascii="Times New Roman" w:eastAsia="Times New Roman" w:hAnsi="Times New Roman" w:cs="Times New Roman"/>
          <w:spacing w:val="6"/>
          <w:sz w:val="24"/>
          <w:szCs w:val="20"/>
          <w:lang w:eastAsia="ru-RU"/>
        </w:rPr>
        <w:t xml:space="preserve"> тыс. рублей, или </w:t>
      </w:r>
      <w:r>
        <w:rPr>
          <w:rFonts w:ascii="Times New Roman" w:eastAsia="Times New Roman" w:hAnsi="Times New Roman" w:cs="Times New Roman"/>
          <w:spacing w:val="6"/>
          <w:sz w:val="24"/>
          <w:szCs w:val="20"/>
          <w:lang w:eastAsia="ru-RU"/>
        </w:rPr>
        <w:t>12</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9</w:t>
      </w:r>
      <w:r w:rsidRPr="001A299F">
        <w:rPr>
          <w:rFonts w:ascii="Times New Roman" w:eastAsia="Times New Roman" w:hAnsi="Times New Roman" w:cs="Times New Roman"/>
          <w:spacing w:val="6"/>
          <w:sz w:val="24"/>
          <w:szCs w:val="20"/>
          <w:lang w:eastAsia="ru-RU"/>
        </w:rPr>
        <w:t xml:space="preserve"> процента;</w:t>
      </w:r>
    </w:p>
    <w:p w:rsidR="009C45F8" w:rsidRPr="001A299F" w:rsidRDefault="009C45F8" w:rsidP="00124114">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0"/>
          <w:lang w:eastAsia="ru-RU"/>
        </w:rPr>
      </w:pPr>
      <w:r w:rsidRPr="001A299F">
        <w:rPr>
          <w:rFonts w:ascii="Times New Roman" w:eastAsia="Times New Roman" w:hAnsi="Times New Roman" w:cs="Times New Roman"/>
          <w:spacing w:val="6"/>
          <w:sz w:val="24"/>
          <w:szCs w:val="20"/>
          <w:lang w:eastAsia="ru-RU"/>
        </w:rPr>
        <w:t>доходов от использования имущества, находящегося в государственной или муниципальной собственности –</w:t>
      </w:r>
      <w:r>
        <w:rPr>
          <w:rFonts w:ascii="Times New Roman" w:eastAsia="Times New Roman" w:hAnsi="Times New Roman" w:cs="Times New Roman"/>
          <w:spacing w:val="6"/>
          <w:sz w:val="24"/>
          <w:szCs w:val="20"/>
          <w:lang w:eastAsia="ru-RU"/>
        </w:rPr>
        <w:t xml:space="preserve"> 1232987,3 </w:t>
      </w:r>
      <w:r w:rsidRPr="001A299F">
        <w:rPr>
          <w:rFonts w:ascii="Times New Roman" w:eastAsia="Times New Roman" w:hAnsi="Times New Roman" w:cs="Times New Roman"/>
          <w:spacing w:val="6"/>
          <w:sz w:val="24"/>
          <w:szCs w:val="20"/>
          <w:lang w:eastAsia="ru-RU"/>
        </w:rPr>
        <w:t>тыс. рублей</w:t>
      </w:r>
      <w:r>
        <w:rPr>
          <w:rFonts w:ascii="Times New Roman" w:eastAsia="Times New Roman" w:hAnsi="Times New Roman" w:cs="Times New Roman"/>
          <w:spacing w:val="6"/>
          <w:sz w:val="24"/>
          <w:szCs w:val="20"/>
          <w:lang w:eastAsia="ru-RU"/>
        </w:rPr>
        <w:t xml:space="preserve"> (уровень исполнения – </w:t>
      </w:r>
      <w:r>
        <w:rPr>
          <w:rFonts w:ascii="Times New Roman" w:eastAsia="Times New Roman" w:hAnsi="Times New Roman" w:cs="Times New Roman"/>
          <w:spacing w:val="6"/>
          <w:sz w:val="24"/>
          <w:szCs w:val="20"/>
          <w:lang w:eastAsia="ru-RU"/>
        </w:rPr>
        <w:br/>
        <w:t>100,7 процента плановых назначений)</w:t>
      </w:r>
      <w:r w:rsidRPr="001A299F">
        <w:rPr>
          <w:rFonts w:ascii="Times New Roman" w:eastAsia="Times New Roman" w:hAnsi="Times New Roman" w:cs="Times New Roman"/>
          <w:spacing w:val="6"/>
          <w:sz w:val="24"/>
          <w:szCs w:val="20"/>
          <w:lang w:eastAsia="ru-RU"/>
        </w:rPr>
        <w:t>, или 2,</w:t>
      </w:r>
      <w:r>
        <w:rPr>
          <w:rFonts w:ascii="Times New Roman" w:eastAsia="Times New Roman" w:hAnsi="Times New Roman" w:cs="Times New Roman"/>
          <w:spacing w:val="6"/>
          <w:sz w:val="24"/>
          <w:szCs w:val="20"/>
          <w:lang w:eastAsia="ru-RU"/>
        </w:rPr>
        <w:t>6</w:t>
      </w:r>
      <w:r w:rsidRPr="001A299F">
        <w:rPr>
          <w:rFonts w:ascii="Times New Roman" w:eastAsia="Times New Roman" w:hAnsi="Times New Roman" w:cs="Times New Roman"/>
          <w:spacing w:val="6"/>
          <w:sz w:val="24"/>
          <w:szCs w:val="20"/>
          <w:lang w:eastAsia="ru-RU"/>
        </w:rPr>
        <w:t xml:space="preserve"> процента в объеме поступивших налоговых и неналоговых доходов консолидированного бюджета. По сравнению с прошлым годом по доходам от использования имущества наблюдается увеличение объема поступлений на </w:t>
      </w:r>
      <w:r>
        <w:rPr>
          <w:rFonts w:ascii="Times New Roman" w:eastAsia="Times New Roman" w:hAnsi="Times New Roman" w:cs="Times New Roman"/>
          <w:spacing w:val="6"/>
          <w:sz w:val="24"/>
          <w:szCs w:val="20"/>
          <w:lang w:eastAsia="ru-RU"/>
        </w:rPr>
        <w:t>114016,8</w:t>
      </w:r>
      <w:r w:rsidRPr="001A299F">
        <w:rPr>
          <w:rFonts w:ascii="Times New Roman" w:eastAsia="Times New Roman" w:hAnsi="Times New Roman" w:cs="Times New Roman"/>
          <w:spacing w:val="6"/>
          <w:sz w:val="24"/>
          <w:szCs w:val="20"/>
          <w:lang w:eastAsia="ru-RU"/>
        </w:rPr>
        <w:t xml:space="preserve"> тыс. рублей, или 1</w:t>
      </w:r>
      <w:r>
        <w:rPr>
          <w:rFonts w:ascii="Times New Roman" w:eastAsia="Times New Roman" w:hAnsi="Times New Roman" w:cs="Times New Roman"/>
          <w:spacing w:val="6"/>
          <w:sz w:val="24"/>
          <w:szCs w:val="20"/>
          <w:lang w:eastAsia="ru-RU"/>
        </w:rPr>
        <w:t>0</w:t>
      </w:r>
      <w:r w:rsidRPr="001A299F">
        <w:rPr>
          <w:rFonts w:ascii="Times New Roman" w:eastAsia="Times New Roman" w:hAnsi="Times New Roman" w:cs="Times New Roman"/>
          <w:spacing w:val="6"/>
          <w:sz w:val="24"/>
          <w:szCs w:val="20"/>
          <w:lang w:eastAsia="ru-RU"/>
        </w:rPr>
        <w:t>,</w:t>
      </w:r>
      <w:r>
        <w:rPr>
          <w:rFonts w:ascii="Times New Roman" w:eastAsia="Times New Roman" w:hAnsi="Times New Roman" w:cs="Times New Roman"/>
          <w:spacing w:val="6"/>
          <w:sz w:val="24"/>
          <w:szCs w:val="20"/>
          <w:lang w:eastAsia="ru-RU"/>
        </w:rPr>
        <w:t>2</w:t>
      </w:r>
      <w:r w:rsidRPr="001A299F">
        <w:rPr>
          <w:rFonts w:ascii="Times New Roman" w:eastAsia="Times New Roman" w:hAnsi="Times New Roman" w:cs="Times New Roman"/>
          <w:spacing w:val="6"/>
          <w:sz w:val="24"/>
          <w:szCs w:val="20"/>
          <w:lang w:eastAsia="ru-RU"/>
        </w:rPr>
        <w:t xml:space="preserve"> процента.</w:t>
      </w:r>
    </w:p>
    <w:p w:rsidR="009C45F8" w:rsidRPr="001A299F" w:rsidRDefault="009C45F8" w:rsidP="009C45F8">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spacing w:val="6"/>
          <w:sz w:val="24"/>
          <w:szCs w:val="20"/>
          <w:lang w:eastAsia="ru-RU"/>
        </w:rPr>
        <w:t xml:space="preserve">Объем безвозмездных поступлений в консолидированный бюджет области в </w:t>
      </w:r>
      <w:r>
        <w:rPr>
          <w:rFonts w:ascii="Times New Roman" w:eastAsia="Times New Roman" w:hAnsi="Times New Roman" w:cs="Times New Roman"/>
          <w:spacing w:val="6"/>
          <w:sz w:val="24"/>
          <w:szCs w:val="20"/>
          <w:lang w:eastAsia="ru-RU"/>
        </w:rPr>
        <w:br/>
      </w:r>
      <w:r w:rsidRPr="001A299F">
        <w:rPr>
          <w:rFonts w:ascii="Times New Roman" w:eastAsia="Times New Roman" w:hAnsi="Times New Roman" w:cs="Times New Roman"/>
          <w:spacing w:val="6"/>
          <w:sz w:val="24"/>
          <w:szCs w:val="20"/>
          <w:lang w:eastAsia="ru-RU"/>
        </w:rPr>
        <w:t>201</w:t>
      </w:r>
      <w:r>
        <w:rPr>
          <w:rFonts w:ascii="Times New Roman" w:eastAsia="Times New Roman" w:hAnsi="Times New Roman" w:cs="Times New Roman"/>
          <w:spacing w:val="6"/>
          <w:sz w:val="24"/>
          <w:szCs w:val="20"/>
          <w:lang w:eastAsia="ru-RU"/>
        </w:rPr>
        <w:t>7</w:t>
      </w:r>
      <w:r w:rsidRPr="001A299F">
        <w:rPr>
          <w:rFonts w:ascii="Times New Roman" w:eastAsia="Times New Roman" w:hAnsi="Times New Roman" w:cs="Times New Roman"/>
          <w:spacing w:val="6"/>
          <w:sz w:val="24"/>
          <w:szCs w:val="20"/>
          <w:lang w:eastAsia="ru-RU"/>
        </w:rPr>
        <w:t xml:space="preserve"> году </w:t>
      </w:r>
      <w:r>
        <w:rPr>
          <w:rFonts w:ascii="Times New Roman" w:eastAsia="Times New Roman" w:hAnsi="Times New Roman" w:cs="Times New Roman"/>
          <w:spacing w:val="6"/>
          <w:sz w:val="24"/>
          <w:szCs w:val="20"/>
          <w:lang w:eastAsia="ru-RU"/>
        </w:rPr>
        <w:t>составляет 10287495,</w:t>
      </w:r>
      <w:r w:rsidR="00491CF7">
        <w:rPr>
          <w:rFonts w:ascii="Times New Roman" w:eastAsia="Times New Roman" w:hAnsi="Times New Roman" w:cs="Times New Roman"/>
          <w:spacing w:val="6"/>
          <w:sz w:val="24"/>
          <w:szCs w:val="20"/>
          <w:lang w:eastAsia="ru-RU"/>
        </w:rPr>
        <w:t>1</w:t>
      </w:r>
      <w:r>
        <w:rPr>
          <w:rFonts w:ascii="Times New Roman" w:eastAsia="Times New Roman" w:hAnsi="Times New Roman" w:cs="Times New Roman"/>
          <w:spacing w:val="6"/>
          <w:sz w:val="24"/>
          <w:szCs w:val="20"/>
          <w:lang w:eastAsia="ru-RU"/>
        </w:rPr>
        <w:t xml:space="preserve"> </w:t>
      </w:r>
      <w:r w:rsidRPr="001A299F">
        <w:rPr>
          <w:rFonts w:ascii="Times New Roman" w:eastAsia="Times New Roman" w:hAnsi="Times New Roman" w:cs="Times New Roman"/>
          <w:spacing w:val="6"/>
          <w:sz w:val="24"/>
          <w:szCs w:val="20"/>
          <w:lang w:eastAsia="ru-RU"/>
        </w:rPr>
        <w:t>тыс. рублей</w:t>
      </w:r>
      <w:r>
        <w:rPr>
          <w:rFonts w:ascii="Times New Roman" w:eastAsia="Times New Roman" w:hAnsi="Times New Roman" w:cs="Times New Roman"/>
          <w:spacing w:val="6"/>
          <w:sz w:val="24"/>
          <w:szCs w:val="20"/>
          <w:lang w:eastAsia="ru-RU"/>
        </w:rPr>
        <w:t>,</w:t>
      </w:r>
      <w:r w:rsidRPr="001A299F">
        <w:rPr>
          <w:rFonts w:ascii="Times New Roman" w:eastAsia="Times New Roman" w:hAnsi="Times New Roman" w:cs="Times New Roman"/>
          <w:spacing w:val="6"/>
          <w:sz w:val="24"/>
          <w:szCs w:val="20"/>
          <w:lang w:eastAsia="ru-RU"/>
        </w:rPr>
        <w:t xml:space="preserve"> при плановых назначениях </w:t>
      </w:r>
      <w:r>
        <w:rPr>
          <w:rFonts w:ascii="Times New Roman" w:eastAsia="Times New Roman" w:hAnsi="Times New Roman" w:cs="Times New Roman"/>
          <w:spacing w:val="6"/>
          <w:sz w:val="24"/>
          <w:szCs w:val="20"/>
          <w:lang w:eastAsia="ru-RU"/>
        </w:rPr>
        <w:br/>
      </w:r>
      <w:r w:rsidR="00491CF7">
        <w:rPr>
          <w:rFonts w:ascii="Times New Roman" w:eastAsia="Times New Roman" w:hAnsi="Times New Roman" w:cs="Times New Roman"/>
          <w:spacing w:val="6"/>
          <w:sz w:val="24"/>
          <w:szCs w:val="20"/>
          <w:lang w:eastAsia="ru-RU"/>
        </w:rPr>
        <w:t>9632584,9</w:t>
      </w:r>
      <w:r w:rsidRPr="001A299F">
        <w:rPr>
          <w:rFonts w:ascii="Times New Roman" w:eastAsia="Times New Roman" w:hAnsi="Times New Roman" w:cs="Times New Roman"/>
          <w:spacing w:val="6"/>
          <w:sz w:val="24"/>
          <w:szCs w:val="20"/>
          <w:lang w:eastAsia="ru-RU"/>
        </w:rPr>
        <w:t xml:space="preserve"> тыс. рублей</w:t>
      </w:r>
      <w:r>
        <w:rPr>
          <w:rFonts w:ascii="Times New Roman" w:eastAsia="Times New Roman" w:hAnsi="Times New Roman" w:cs="Times New Roman"/>
          <w:spacing w:val="6"/>
          <w:sz w:val="24"/>
          <w:szCs w:val="20"/>
          <w:lang w:eastAsia="ru-RU"/>
        </w:rPr>
        <w:t xml:space="preserve"> (уровень исполнения - 106,</w:t>
      </w:r>
      <w:r w:rsidR="00491CF7">
        <w:rPr>
          <w:rFonts w:ascii="Times New Roman" w:eastAsia="Times New Roman" w:hAnsi="Times New Roman" w:cs="Times New Roman"/>
          <w:spacing w:val="6"/>
          <w:sz w:val="24"/>
          <w:szCs w:val="20"/>
          <w:lang w:eastAsia="ru-RU"/>
        </w:rPr>
        <w:t>8</w:t>
      </w:r>
      <w:r>
        <w:rPr>
          <w:rFonts w:ascii="Times New Roman" w:eastAsia="Times New Roman" w:hAnsi="Times New Roman" w:cs="Times New Roman"/>
          <w:spacing w:val="6"/>
          <w:sz w:val="24"/>
          <w:szCs w:val="20"/>
          <w:lang w:eastAsia="ru-RU"/>
        </w:rPr>
        <w:t xml:space="preserve"> процента плановых назначений), что меньше объема поступлений 2016 года на 2957166,8 тыс. рублей, или 22,3 процента</w:t>
      </w:r>
      <w:r w:rsidRPr="001A299F">
        <w:rPr>
          <w:rFonts w:ascii="Times New Roman" w:eastAsia="Times New Roman" w:hAnsi="Times New Roman" w:cs="Times New Roman"/>
          <w:spacing w:val="6"/>
          <w:sz w:val="24"/>
          <w:szCs w:val="20"/>
          <w:lang w:eastAsia="ru-RU"/>
        </w:rPr>
        <w:t>.</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Расходы консолидированного бюджета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 xml:space="preserve">увеличились </w:t>
      </w:r>
      <w:r w:rsidRPr="001A299F">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3357673,6 тыс. рублей, или 6</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и составили </w:t>
      </w:r>
      <w:r>
        <w:rPr>
          <w:rFonts w:ascii="Times New Roman" w:eastAsia="Times New Roman" w:hAnsi="Times New Roman" w:cs="Times New Roman"/>
          <w:sz w:val="24"/>
          <w:szCs w:val="24"/>
          <w:lang w:eastAsia="ru-RU"/>
        </w:rPr>
        <w:br/>
        <w:t>57650463,3</w:t>
      </w:r>
      <w:r w:rsidRPr="001A299F">
        <w:rPr>
          <w:rFonts w:ascii="Times New Roman" w:eastAsia="Times New Roman" w:hAnsi="Times New Roman" w:cs="Times New Roman"/>
          <w:sz w:val="24"/>
          <w:szCs w:val="24"/>
          <w:lang w:eastAsia="ru-RU"/>
        </w:rPr>
        <w:t xml:space="preserve"> тыс. рублей. Уровень исполнения по расходам консолидированного бюджета составил </w:t>
      </w:r>
      <w:r>
        <w:rPr>
          <w:rFonts w:ascii="Times New Roman" w:eastAsia="Times New Roman" w:hAnsi="Times New Roman" w:cs="Times New Roman"/>
          <w:sz w:val="24"/>
          <w:szCs w:val="24"/>
          <w:lang w:eastAsia="ru-RU"/>
        </w:rPr>
        <w:t>94,</w:t>
      </w:r>
      <w:r w:rsidR="00491CF7">
        <w:rPr>
          <w:rFonts w:ascii="Times New Roman" w:eastAsia="Times New Roman" w:hAnsi="Times New Roman" w:cs="Times New Roman"/>
          <w:sz w:val="24"/>
          <w:szCs w:val="24"/>
          <w:lang w:eastAsia="ru-RU"/>
        </w:rPr>
        <w:t>3</w:t>
      </w:r>
      <w:r w:rsidRPr="001A299F">
        <w:rPr>
          <w:rFonts w:ascii="Times New Roman" w:eastAsia="Times New Roman" w:hAnsi="Times New Roman" w:cs="Times New Roman"/>
          <w:sz w:val="24"/>
          <w:szCs w:val="24"/>
          <w:lang w:eastAsia="ru-RU"/>
        </w:rPr>
        <w:t xml:space="preserve"> процента плановых назначений. Выше среднесложившегося уровня исполнены расходы по следующим разделам бюджетной классификации расходов:</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охрана окружающей среды – </w:t>
      </w:r>
      <w:r>
        <w:rPr>
          <w:rFonts w:ascii="Times New Roman" w:eastAsia="Times New Roman" w:hAnsi="Times New Roman" w:cs="Times New Roman"/>
          <w:sz w:val="24"/>
          <w:szCs w:val="24"/>
          <w:lang w:eastAsia="ru-RU"/>
        </w:rPr>
        <w:t>63634,2</w:t>
      </w:r>
      <w:r w:rsidRPr="001A299F">
        <w:rPr>
          <w:rFonts w:ascii="Times New Roman" w:eastAsia="Times New Roman" w:hAnsi="Times New Roman" w:cs="Times New Roman"/>
          <w:sz w:val="24"/>
          <w:szCs w:val="24"/>
          <w:lang w:eastAsia="ru-RU"/>
        </w:rPr>
        <w:t xml:space="preserve"> тыс. рублей, или</w:t>
      </w:r>
      <w:r>
        <w:rPr>
          <w:rFonts w:ascii="Times New Roman" w:eastAsia="Times New Roman" w:hAnsi="Times New Roman" w:cs="Times New Roman"/>
          <w:sz w:val="24"/>
          <w:szCs w:val="24"/>
          <w:lang w:eastAsia="ru-RU"/>
        </w:rPr>
        <w:t xml:space="preserve"> 99,7</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124114">
      <w:pPr>
        <w:widowControl w:val="0"/>
        <w:numPr>
          <w:ilvl w:val="0"/>
          <w:numId w:val="5"/>
        </w:numPr>
        <w:autoSpaceDE w:val="0"/>
        <w:autoSpaceDN w:val="0"/>
        <w:adjustRightInd w:val="0"/>
        <w:spacing w:after="0" w:line="240" w:lineRule="auto"/>
        <w:ind w:left="709" w:hanging="34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обслуживание государственного и муниципального долга – </w:t>
      </w:r>
      <w:r>
        <w:rPr>
          <w:rFonts w:ascii="Times New Roman" w:eastAsia="Times New Roman" w:hAnsi="Times New Roman" w:cs="Times New Roman"/>
          <w:sz w:val="24"/>
          <w:szCs w:val="24"/>
          <w:lang w:eastAsia="ru-RU"/>
        </w:rPr>
        <w:t>967221,4</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99,3</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1A299F">
        <w:rPr>
          <w:rFonts w:ascii="Times New Roman" w:eastAsia="Times New Roman" w:hAnsi="Times New Roman" w:cs="Times New Roman"/>
          <w:sz w:val="24"/>
          <w:szCs w:val="24"/>
          <w:lang w:eastAsia="ru-RU"/>
        </w:rPr>
        <w:t>;</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здравоохранение – </w:t>
      </w:r>
      <w:r>
        <w:rPr>
          <w:rFonts w:ascii="Times New Roman" w:eastAsia="Times New Roman" w:hAnsi="Times New Roman" w:cs="Times New Roman"/>
          <w:sz w:val="24"/>
          <w:szCs w:val="24"/>
          <w:lang w:eastAsia="ru-RU"/>
        </w:rPr>
        <w:t>2949882,0</w:t>
      </w:r>
      <w:r w:rsidRPr="001A299F">
        <w:rPr>
          <w:rFonts w:ascii="Times New Roman" w:eastAsia="Times New Roman" w:hAnsi="Times New Roman" w:cs="Times New Roman"/>
          <w:sz w:val="24"/>
          <w:szCs w:val="24"/>
          <w:lang w:eastAsia="ru-RU"/>
        </w:rPr>
        <w:t xml:space="preserve"> тыс. рублей, или 99,</w:t>
      </w:r>
      <w:r>
        <w:rPr>
          <w:rFonts w:ascii="Times New Roman" w:eastAsia="Times New Roman" w:hAnsi="Times New Roman" w:cs="Times New Roman"/>
          <w:sz w:val="24"/>
          <w:szCs w:val="24"/>
          <w:lang w:eastAsia="ru-RU"/>
        </w:rPr>
        <w:t>3</w:t>
      </w:r>
      <w:r w:rsidRPr="001A299F">
        <w:rPr>
          <w:rFonts w:ascii="Times New Roman" w:eastAsia="Times New Roman" w:hAnsi="Times New Roman" w:cs="Times New Roman"/>
          <w:sz w:val="24"/>
          <w:szCs w:val="24"/>
          <w:lang w:eastAsia="ru-RU"/>
        </w:rPr>
        <w:t xml:space="preserve"> процента;</w:t>
      </w:r>
    </w:p>
    <w:p w:rsidR="009C45F8"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социальная политика – </w:t>
      </w:r>
      <w:r>
        <w:rPr>
          <w:rFonts w:ascii="Times New Roman" w:eastAsia="Times New Roman" w:hAnsi="Times New Roman" w:cs="Times New Roman"/>
          <w:sz w:val="24"/>
          <w:szCs w:val="24"/>
          <w:lang w:eastAsia="ru-RU"/>
        </w:rPr>
        <w:t>15189735,4</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средства массовой информации – </w:t>
      </w:r>
      <w:r>
        <w:rPr>
          <w:rFonts w:ascii="Times New Roman" w:eastAsia="Times New Roman" w:hAnsi="Times New Roman" w:cs="Times New Roman"/>
          <w:sz w:val="24"/>
          <w:szCs w:val="24"/>
          <w:lang w:eastAsia="ru-RU"/>
        </w:rPr>
        <w:t>103277,0</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образование – </w:t>
      </w:r>
      <w:r>
        <w:rPr>
          <w:rFonts w:ascii="Times New Roman" w:eastAsia="Times New Roman" w:hAnsi="Times New Roman" w:cs="Times New Roman"/>
          <w:sz w:val="24"/>
          <w:szCs w:val="24"/>
          <w:lang w:eastAsia="ru-RU"/>
        </w:rPr>
        <w:t>13706975,0</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национальная оборона – </w:t>
      </w:r>
      <w:r>
        <w:rPr>
          <w:rFonts w:ascii="Times New Roman" w:eastAsia="Times New Roman" w:hAnsi="Times New Roman" w:cs="Times New Roman"/>
          <w:sz w:val="24"/>
          <w:szCs w:val="24"/>
          <w:lang w:eastAsia="ru-RU"/>
        </w:rPr>
        <w:t>34397,5</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или 97,8 процента;</w:t>
      </w:r>
    </w:p>
    <w:p w:rsidR="009C45F8" w:rsidRPr="001A299F" w:rsidRDefault="009C45F8" w:rsidP="00124114">
      <w:pPr>
        <w:widowControl w:val="0"/>
        <w:numPr>
          <w:ilvl w:val="0"/>
          <w:numId w:val="5"/>
        </w:numPr>
        <w:autoSpaceDE w:val="0"/>
        <w:autoSpaceDN w:val="0"/>
        <w:adjustRightInd w:val="0"/>
        <w:spacing w:after="0" w:line="240" w:lineRule="auto"/>
        <w:ind w:left="709" w:hanging="349"/>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национальная безопасность и правоохранительная деятельность – </w:t>
      </w:r>
      <w:r>
        <w:rPr>
          <w:rFonts w:ascii="Times New Roman" w:eastAsia="Times New Roman" w:hAnsi="Times New Roman" w:cs="Times New Roman"/>
          <w:sz w:val="24"/>
          <w:szCs w:val="24"/>
          <w:lang w:eastAsia="ru-RU"/>
        </w:rPr>
        <w:t xml:space="preserve">1038006,2 </w:t>
      </w:r>
      <w:r w:rsidRPr="001A299F">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96,6</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 xml:space="preserve">культура и кинематография – </w:t>
      </w:r>
      <w:r>
        <w:rPr>
          <w:rFonts w:ascii="Times New Roman" w:eastAsia="Times New Roman" w:hAnsi="Times New Roman" w:cs="Times New Roman"/>
          <w:sz w:val="24"/>
          <w:szCs w:val="24"/>
          <w:lang w:eastAsia="ru-RU"/>
        </w:rPr>
        <w:t>1803269,8</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124114">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общегосударствен</w:t>
      </w:r>
      <w:r>
        <w:rPr>
          <w:rFonts w:ascii="Times New Roman" w:eastAsia="Times New Roman" w:hAnsi="Times New Roman" w:cs="Times New Roman"/>
          <w:sz w:val="24"/>
          <w:szCs w:val="24"/>
          <w:lang w:eastAsia="ru-RU"/>
        </w:rPr>
        <w:t xml:space="preserve">ные вопросы – </w:t>
      </w:r>
      <w:r w:rsidR="00491CF7">
        <w:rPr>
          <w:rFonts w:ascii="Times New Roman" w:eastAsia="Times New Roman" w:hAnsi="Times New Roman" w:cs="Times New Roman"/>
          <w:sz w:val="24"/>
          <w:szCs w:val="24"/>
          <w:lang w:eastAsia="ru-RU"/>
        </w:rPr>
        <w:t>4620992,3</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95,7 процента.</w:t>
      </w:r>
    </w:p>
    <w:p w:rsidR="009C45F8" w:rsidRDefault="009C45F8" w:rsidP="009C45F8">
      <w:pPr>
        <w:spacing w:after="0" w:line="240" w:lineRule="auto"/>
        <w:ind w:firstLine="709"/>
        <w:jc w:val="both"/>
        <w:rPr>
          <w:rFonts w:ascii="Times New Roman" w:hAnsi="Times New Roman" w:cs="Times New Roman"/>
          <w:sz w:val="24"/>
          <w:szCs w:val="24"/>
        </w:rPr>
      </w:pPr>
      <w:r w:rsidRPr="007B236A">
        <w:rPr>
          <w:rFonts w:ascii="Times New Roman" w:hAnsi="Times New Roman" w:cs="Times New Roman"/>
          <w:sz w:val="24"/>
          <w:szCs w:val="24"/>
        </w:rPr>
        <w:t xml:space="preserve">Наименьший процент исполнения сложился по расходам на жилищно-коммунальное хозяйство – </w:t>
      </w:r>
      <w:r>
        <w:rPr>
          <w:rFonts w:ascii="Times New Roman" w:hAnsi="Times New Roman" w:cs="Times New Roman"/>
          <w:sz w:val="24"/>
          <w:szCs w:val="24"/>
        </w:rPr>
        <w:t>80,2</w:t>
      </w:r>
      <w:r w:rsidRPr="007B236A">
        <w:rPr>
          <w:rFonts w:ascii="Times New Roman" w:hAnsi="Times New Roman" w:cs="Times New Roman"/>
          <w:sz w:val="24"/>
          <w:szCs w:val="24"/>
        </w:rPr>
        <w:t xml:space="preserve"> процент</w:t>
      </w:r>
      <w:r>
        <w:rPr>
          <w:rFonts w:ascii="Times New Roman" w:hAnsi="Times New Roman" w:cs="Times New Roman"/>
          <w:sz w:val="24"/>
          <w:szCs w:val="24"/>
        </w:rPr>
        <w:t>а</w:t>
      </w:r>
      <w:r w:rsidRPr="007B236A">
        <w:rPr>
          <w:rFonts w:ascii="Times New Roman" w:hAnsi="Times New Roman" w:cs="Times New Roman"/>
          <w:sz w:val="24"/>
          <w:szCs w:val="24"/>
        </w:rPr>
        <w:t xml:space="preserve">, при плановых назначениях в сумме </w:t>
      </w:r>
      <w:r w:rsidR="00491CF7">
        <w:rPr>
          <w:rFonts w:ascii="Times New Roman" w:hAnsi="Times New Roman" w:cs="Times New Roman"/>
          <w:sz w:val="24"/>
          <w:szCs w:val="24"/>
        </w:rPr>
        <w:t>9346106,2</w:t>
      </w:r>
      <w:r w:rsidRPr="007B236A">
        <w:rPr>
          <w:rFonts w:ascii="Times New Roman" w:hAnsi="Times New Roman" w:cs="Times New Roman"/>
          <w:sz w:val="24"/>
          <w:szCs w:val="24"/>
        </w:rPr>
        <w:t xml:space="preserve"> тыс. рублей исполнение составило </w:t>
      </w:r>
      <w:r>
        <w:rPr>
          <w:rFonts w:ascii="Times New Roman" w:hAnsi="Times New Roman" w:cs="Times New Roman"/>
          <w:sz w:val="24"/>
          <w:szCs w:val="24"/>
        </w:rPr>
        <w:t>–</w:t>
      </w:r>
      <w:r w:rsidRPr="007B236A">
        <w:rPr>
          <w:rFonts w:ascii="Times New Roman" w:hAnsi="Times New Roman" w:cs="Times New Roman"/>
          <w:sz w:val="24"/>
          <w:szCs w:val="24"/>
        </w:rPr>
        <w:t xml:space="preserve"> </w:t>
      </w:r>
      <w:r>
        <w:rPr>
          <w:rFonts w:ascii="Times New Roman" w:hAnsi="Times New Roman" w:cs="Times New Roman"/>
          <w:sz w:val="24"/>
          <w:szCs w:val="24"/>
        </w:rPr>
        <w:t xml:space="preserve">7497962,9 </w:t>
      </w:r>
      <w:r w:rsidRPr="007B236A">
        <w:rPr>
          <w:rFonts w:ascii="Times New Roman" w:hAnsi="Times New Roman" w:cs="Times New Roman"/>
          <w:sz w:val="24"/>
          <w:szCs w:val="24"/>
        </w:rPr>
        <w:t>тыс. рублей</w:t>
      </w:r>
      <w:r>
        <w:rPr>
          <w:rFonts w:ascii="Times New Roman" w:hAnsi="Times New Roman" w:cs="Times New Roman"/>
          <w:sz w:val="24"/>
          <w:szCs w:val="24"/>
        </w:rPr>
        <w:t>, на физическую культуру и спорт –</w:t>
      </w:r>
      <w:r>
        <w:rPr>
          <w:rFonts w:ascii="Times New Roman" w:hAnsi="Times New Roman" w:cs="Times New Roman"/>
          <w:sz w:val="24"/>
          <w:szCs w:val="24"/>
        </w:rPr>
        <w:br/>
        <w:t>80,9 процента, при плановых назначениях в сумме 504341,8 тыс. рублей, исполнение составило – 407797,5 тыс. рублей</w:t>
      </w:r>
      <w:r w:rsidRPr="007B236A">
        <w:rPr>
          <w:rFonts w:ascii="Times New Roman" w:hAnsi="Times New Roman" w:cs="Times New Roman"/>
          <w:sz w:val="24"/>
          <w:szCs w:val="24"/>
        </w:rPr>
        <w:t>.</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по разделу «Национальная экономика» исполнены в объеме </w:t>
      </w:r>
      <w:r w:rsidR="00491CF7">
        <w:rPr>
          <w:rFonts w:ascii="Times New Roman" w:eastAsia="Times New Roman" w:hAnsi="Times New Roman" w:cs="Times New Roman"/>
          <w:sz w:val="24"/>
          <w:szCs w:val="24"/>
          <w:lang w:eastAsia="ru-RU"/>
        </w:rPr>
        <w:t>9267312,1</w:t>
      </w:r>
      <w:r>
        <w:rPr>
          <w:rFonts w:ascii="Times New Roman" w:eastAsia="Times New Roman" w:hAnsi="Times New Roman" w:cs="Times New Roman"/>
          <w:sz w:val="24"/>
          <w:szCs w:val="24"/>
          <w:lang w:eastAsia="ru-RU"/>
        </w:rPr>
        <w:t xml:space="preserve"> тыс. рублей, или 90,8 процента плановых назначений.</w:t>
      </w:r>
    </w:p>
    <w:p w:rsidR="009C45F8" w:rsidRP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Структура расходов консолидированного бюджета области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представлена </w:t>
      </w:r>
      <w:r w:rsidRPr="009C45F8">
        <w:rPr>
          <w:rFonts w:ascii="Times New Roman" w:eastAsia="Times New Roman" w:hAnsi="Times New Roman" w:cs="Times New Roman"/>
          <w:sz w:val="24"/>
          <w:szCs w:val="24"/>
          <w:lang w:eastAsia="ru-RU"/>
        </w:rPr>
        <w:t>на рисунке 14.</w:t>
      </w:r>
    </w:p>
    <w:p w:rsidR="009C45F8" w:rsidRPr="001A299F"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FE08FC">
        <w:rPr>
          <w:rFonts w:ascii="Times New Roman" w:eastAsia="Times New Roman" w:hAnsi="Times New Roman" w:cs="Times New Roman"/>
          <w:sz w:val="24"/>
          <w:szCs w:val="24"/>
          <w:lang w:eastAsia="ru-RU"/>
        </w:rPr>
        <w:t xml:space="preserve">В структуре расходов </w:t>
      </w:r>
      <w:r w:rsidRPr="001A299F">
        <w:rPr>
          <w:rFonts w:ascii="Times New Roman" w:eastAsia="Times New Roman" w:hAnsi="Times New Roman" w:cs="Times New Roman"/>
          <w:sz w:val="24"/>
          <w:szCs w:val="24"/>
          <w:lang w:eastAsia="ru-RU"/>
        </w:rPr>
        <w:t xml:space="preserve">консолидированного бюджета Амурской области наибольшую долю составляют социально значимые расходы: социальная политика – </w:t>
      </w:r>
      <w:r>
        <w:rPr>
          <w:rFonts w:ascii="Times New Roman" w:eastAsia="Times New Roman" w:hAnsi="Times New Roman" w:cs="Times New Roman"/>
          <w:sz w:val="24"/>
          <w:szCs w:val="24"/>
          <w:lang w:eastAsia="ru-RU"/>
        </w:rPr>
        <w:t>26</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образование – 2</w:t>
      </w:r>
      <w:r>
        <w:rPr>
          <w:rFonts w:ascii="Times New Roman" w:eastAsia="Times New Roman" w:hAnsi="Times New Roman" w:cs="Times New Roman"/>
          <w:sz w:val="24"/>
          <w:szCs w:val="24"/>
          <w:lang w:eastAsia="ru-RU"/>
        </w:rPr>
        <w:t>3</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1A299F">
        <w:rPr>
          <w:rFonts w:ascii="Times New Roman" w:eastAsia="Times New Roman" w:hAnsi="Times New Roman" w:cs="Times New Roman"/>
          <w:sz w:val="24"/>
          <w:szCs w:val="24"/>
          <w:lang w:eastAsia="ru-RU"/>
        </w:rPr>
        <w:t xml:space="preserve"> в общем объеме расходов.</w:t>
      </w:r>
    </w:p>
    <w:p w:rsidR="009C45F8" w:rsidRPr="001A299F" w:rsidRDefault="009C45F8" w:rsidP="009C45F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A299F">
        <w:rPr>
          <w:rFonts w:ascii="Times New Roman" w:eastAsia="Times New Roman" w:hAnsi="Times New Roman" w:cs="Times New Roman"/>
          <w:sz w:val="24"/>
          <w:szCs w:val="24"/>
          <w:lang w:eastAsia="ru-RU"/>
        </w:rPr>
        <w:t>Кроме того, значительный удельный вес в общем объеме расходов занимают расходы на национальную экономику – 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 xml:space="preserve"> и жилищно-коммунальное хозяйство -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13,0 </w:t>
      </w:r>
      <w:r w:rsidRPr="001A299F">
        <w:rPr>
          <w:rFonts w:ascii="Times New Roman" w:eastAsia="Times New Roman" w:hAnsi="Times New Roman" w:cs="Times New Roman"/>
          <w:sz w:val="24"/>
          <w:szCs w:val="24"/>
          <w:lang w:eastAsia="ru-RU"/>
        </w:rPr>
        <w:t>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color w:val="000000" w:themeColor="text1"/>
          <w:sz w:val="24"/>
          <w:szCs w:val="24"/>
          <w:lang w:eastAsia="ru-RU"/>
        </w:rPr>
        <w:t>.</w:t>
      </w:r>
    </w:p>
    <w:p w:rsidR="009C45F8" w:rsidRPr="001A299F" w:rsidRDefault="009C45F8" w:rsidP="009C45F8">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9EC">
        <w:rPr>
          <w:rFonts w:ascii="Times New Roman" w:eastAsia="Times New Roman" w:hAnsi="Times New Roman" w:cs="Times New Roman"/>
          <w:b/>
          <w:noProof/>
          <w:color w:val="FFC000"/>
          <w:sz w:val="20"/>
          <w:szCs w:val="20"/>
          <w:lang w:eastAsia="ru-RU"/>
        </w:rPr>
        <w:drawing>
          <wp:inline distT="0" distB="0" distL="0" distR="0" wp14:anchorId="2412584B" wp14:editId="6ED1EF50">
            <wp:extent cx="6331789" cy="4166559"/>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C45F8">
        <w:rPr>
          <w:rFonts w:ascii="Times New Roman" w:eastAsia="Times New Roman" w:hAnsi="Times New Roman" w:cs="Times New Roman"/>
          <w:b/>
          <w:sz w:val="24"/>
          <w:szCs w:val="24"/>
          <w:lang w:eastAsia="ru-RU"/>
        </w:rPr>
        <w:t xml:space="preserve">Рис. 14 - </w:t>
      </w:r>
      <w:r w:rsidRPr="001A299F">
        <w:rPr>
          <w:rFonts w:ascii="Times New Roman" w:eastAsia="Times New Roman" w:hAnsi="Times New Roman" w:cs="Times New Roman"/>
          <w:b/>
          <w:sz w:val="24"/>
          <w:szCs w:val="24"/>
          <w:lang w:eastAsia="ru-RU"/>
        </w:rPr>
        <w:t>Структура расходов консолидированного бюджета области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w:t>
      </w:r>
    </w:p>
    <w:p w:rsidR="009C45F8" w:rsidRDefault="009C45F8" w:rsidP="009C45F8">
      <w:pPr>
        <w:spacing w:after="0" w:line="240" w:lineRule="auto"/>
        <w:ind w:firstLine="720"/>
        <w:jc w:val="both"/>
        <w:rPr>
          <w:rFonts w:ascii="Times New Roman" w:eastAsia="Times New Roman" w:hAnsi="Times New Roman" w:cs="Times New Roman"/>
          <w:sz w:val="24"/>
          <w:szCs w:val="20"/>
          <w:lang w:eastAsia="ru-RU"/>
        </w:rPr>
      </w:pPr>
    </w:p>
    <w:p w:rsidR="009C45F8" w:rsidRPr="009C45F8"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0"/>
          <w:lang w:eastAsia="ru-RU"/>
        </w:rPr>
        <w:t>По итогам 201</w:t>
      </w:r>
      <w:r>
        <w:rPr>
          <w:rFonts w:ascii="Times New Roman" w:eastAsia="Times New Roman" w:hAnsi="Times New Roman" w:cs="Times New Roman"/>
          <w:sz w:val="24"/>
          <w:szCs w:val="20"/>
          <w:lang w:eastAsia="ru-RU"/>
        </w:rPr>
        <w:t>7</w:t>
      </w:r>
      <w:r w:rsidRPr="001A299F">
        <w:rPr>
          <w:rFonts w:ascii="Times New Roman" w:eastAsia="Times New Roman" w:hAnsi="Times New Roman" w:cs="Times New Roman"/>
          <w:sz w:val="24"/>
          <w:szCs w:val="20"/>
          <w:lang w:eastAsia="ru-RU"/>
        </w:rPr>
        <w:t xml:space="preserve"> года консолидированный бюджет области исполнен с </w:t>
      </w:r>
      <w:r>
        <w:rPr>
          <w:rFonts w:ascii="Times New Roman" w:eastAsia="Times New Roman" w:hAnsi="Times New Roman" w:cs="Times New Roman"/>
          <w:sz w:val="24"/>
          <w:szCs w:val="20"/>
          <w:lang w:eastAsia="ru-RU"/>
        </w:rPr>
        <w:t xml:space="preserve">профицитом </w:t>
      </w:r>
      <w:r w:rsidRPr="001A299F">
        <w:rPr>
          <w:rFonts w:ascii="Times New Roman" w:eastAsia="Times New Roman" w:hAnsi="Times New Roman" w:cs="Times New Roman"/>
          <w:sz w:val="24"/>
          <w:szCs w:val="20"/>
          <w:lang w:eastAsia="ru-RU"/>
        </w:rPr>
        <w:t xml:space="preserve">в объеме </w:t>
      </w:r>
      <w:r>
        <w:rPr>
          <w:rFonts w:ascii="Times New Roman" w:eastAsia="Times New Roman" w:hAnsi="Times New Roman" w:cs="Times New Roman"/>
          <w:sz w:val="24"/>
          <w:szCs w:val="20"/>
          <w:lang w:eastAsia="ru-RU"/>
        </w:rPr>
        <w:t>448485,0</w:t>
      </w:r>
      <w:r w:rsidRPr="001A299F">
        <w:rPr>
          <w:rFonts w:ascii="Times New Roman" w:eastAsia="Times New Roman" w:hAnsi="Times New Roman" w:cs="Times New Roman"/>
          <w:sz w:val="24"/>
          <w:szCs w:val="20"/>
          <w:lang w:eastAsia="ru-RU"/>
        </w:rPr>
        <w:t xml:space="preserve"> тыс. рублей при планируемом дефиците в сумме </w:t>
      </w:r>
      <w:r>
        <w:rPr>
          <w:rFonts w:ascii="Times New Roman" w:eastAsia="Times New Roman" w:hAnsi="Times New Roman" w:cs="Times New Roman"/>
          <w:sz w:val="24"/>
          <w:szCs w:val="20"/>
          <w:lang w:eastAsia="ru-RU"/>
        </w:rPr>
        <w:t>3000862,2</w:t>
      </w:r>
      <w:r w:rsidRPr="001A299F">
        <w:rPr>
          <w:rFonts w:ascii="Times New Roman" w:eastAsia="Times New Roman" w:hAnsi="Times New Roman" w:cs="Times New Roman"/>
          <w:sz w:val="24"/>
          <w:szCs w:val="20"/>
          <w:lang w:eastAsia="ru-RU"/>
        </w:rPr>
        <w:t xml:space="preserve"> тыс. рублей</w:t>
      </w:r>
      <w:r>
        <w:rPr>
          <w:rFonts w:ascii="Times New Roman" w:eastAsia="Times New Roman" w:hAnsi="Times New Roman" w:cs="Times New Roman"/>
          <w:sz w:val="24"/>
          <w:szCs w:val="20"/>
          <w:lang w:eastAsia="ru-RU"/>
        </w:rPr>
        <w:t xml:space="preserve">, </w:t>
      </w:r>
      <w:r w:rsidRPr="001A299F">
        <w:rPr>
          <w:rFonts w:ascii="Times New Roman" w:eastAsia="Times New Roman" w:hAnsi="Times New Roman" w:cs="Times New Roman"/>
          <w:sz w:val="24"/>
          <w:szCs w:val="20"/>
          <w:lang w:eastAsia="ru-RU"/>
        </w:rPr>
        <w:t xml:space="preserve"> что связано</w:t>
      </w:r>
      <w:r>
        <w:rPr>
          <w:rFonts w:ascii="Times New Roman" w:eastAsia="Times New Roman" w:hAnsi="Times New Roman" w:cs="Times New Roman"/>
          <w:sz w:val="24"/>
          <w:szCs w:val="20"/>
          <w:lang w:eastAsia="ru-RU"/>
        </w:rPr>
        <w:t>,</w:t>
      </w:r>
      <w:r w:rsidRPr="001A29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в основном, с  направлением денежных средств на погашение кредитов, предоставленных кредитными организациями, бюджетных кредитов, предоставленных Амурской области из федерального бюджета</w:t>
      </w:r>
      <w:r w:rsidRPr="001A299F">
        <w:rPr>
          <w:rFonts w:ascii="Times New Roman" w:eastAsia="Times New Roman" w:hAnsi="Times New Roman" w:cs="Times New Roman"/>
          <w:sz w:val="24"/>
          <w:szCs w:val="20"/>
          <w:lang w:eastAsia="ru-RU"/>
        </w:rPr>
        <w:t xml:space="preserve">. </w:t>
      </w:r>
      <w:r w:rsidRPr="001A299F">
        <w:rPr>
          <w:rFonts w:ascii="Times New Roman" w:eastAsia="Times New Roman" w:hAnsi="Times New Roman" w:cs="Times New Roman"/>
          <w:sz w:val="24"/>
          <w:szCs w:val="24"/>
          <w:lang w:eastAsia="ru-RU"/>
        </w:rPr>
        <w:t>Данные о дефиците (профиците) консолидированного бюджета в динамике</w:t>
      </w:r>
      <w:r>
        <w:rPr>
          <w:rFonts w:ascii="Times New Roman" w:eastAsia="Times New Roman" w:hAnsi="Times New Roman" w:cs="Times New Roman"/>
          <w:sz w:val="24"/>
          <w:szCs w:val="24"/>
          <w:lang w:eastAsia="ru-RU"/>
        </w:rPr>
        <w:t xml:space="preserve"> з</w:t>
      </w:r>
      <w:r w:rsidRPr="001A299F">
        <w:rPr>
          <w:rFonts w:ascii="Times New Roman" w:eastAsia="Times New Roman" w:hAnsi="Times New Roman" w:cs="Times New Roman"/>
          <w:sz w:val="24"/>
          <w:szCs w:val="24"/>
          <w:lang w:eastAsia="ru-RU"/>
        </w:rPr>
        <w:t>а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представлены </w:t>
      </w:r>
      <w:r w:rsidRPr="00FE08FC">
        <w:rPr>
          <w:rFonts w:ascii="Times New Roman" w:eastAsia="Times New Roman" w:hAnsi="Times New Roman" w:cs="Times New Roman"/>
          <w:sz w:val="24"/>
          <w:szCs w:val="24"/>
          <w:lang w:eastAsia="ru-RU"/>
        </w:rPr>
        <w:t xml:space="preserve">на </w:t>
      </w:r>
      <w:r w:rsidRPr="009C45F8">
        <w:rPr>
          <w:rFonts w:ascii="Times New Roman" w:eastAsia="Times New Roman" w:hAnsi="Times New Roman" w:cs="Times New Roman"/>
          <w:sz w:val="24"/>
          <w:szCs w:val="24"/>
          <w:lang w:eastAsia="ru-RU"/>
        </w:rPr>
        <w:t>рисунке 15.</w:t>
      </w:r>
    </w:p>
    <w:p w:rsidR="009C45F8" w:rsidRPr="001A299F" w:rsidRDefault="009C45F8" w:rsidP="009C45F8">
      <w:pPr>
        <w:spacing w:after="0" w:line="240" w:lineRule="auto"/>
        <w:ind w:firstLine="720"/>
        <w:jc w:val="both"/>
        <w:rPr>
          <w:rFonts w:ascii="Times New Roman" w:eastAsia="Times New Roman" w:hAnsi="Times New Roman" w:cs="Times New Roman"/>
          <w:sz w:val="24"/>
          <w:szCs w:val="24"/>
          <w:lang w:eastAsia="ru-RU"/>
        </w:rPr>
      </w:pPr>
    </w:p>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7341">
        <w:rPr>
          <w:rFonts w:ascii="Times New Roman" w:eastAsia="Times New Roman" w:hAnsi="Times New Roman" w:cs="Times New Roman"/>
          <w:noProof/>
          <w:color w:val="943634" w:themeColor="accent2" w:themeShade="BF"/>
          <w:sz w:val="20"/>
          <w:szCs w:val="20"/>
          <w:lang w:eastAsia="ru-RU"/>
        </w:rPr>
        <w:lastRenderedPageBreak/>
        <w:drawing>
          <wp:inline distT="0" distB="0" distL="0" distR="0" wp14:anchorId="06D6C781" wp14:editId="78B04181">
            <wp:extent cx="6067425" cy="29337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C45F8" w:rsidRPr="001A299F" w:rsidRDefault="009C45F8" w:rsidP="009C45F8">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9C45F8">
        <w:rPr>
          <w:rFonts w:ascii="Times New Roman" w:eastAsia="Times New Roman" w:hAnsi="Times New Roman" w:cs="Times New Roman"/>
          <w:b/>
          <w:sz w:val="24"/>
          <w:szCs w:val="24"/>
          <w:lang w:eastAsia="ru-RU"/>
        </w:rPr>
        <w:t xml:space="preserve">Рис. 15 </w:t>
      </w:r>
      <w:r w:rsidRPr="001A299F">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b/>
          <w:sz w:val="24"/>
          <w:szCs w:val="24"/>
          <w:lang w:eastAsia="ru-RU"/>
        </w:rPr>
        <w:t>Динамика исполнения консолидированного бюджета (дефицит, профицит) за 201</w:t>
      </w:r>
      <w:r>
        <w:rPr>
          <w:rFonts w:ascii="Times New Roman" w:eastAsia="Times New Roman" w:hAnsi="Times New Roman" w:cs="Times New Roman"/>
          <w:b/>
          <w:sz w:val="24"/>
          <w:szCs w:val="24"/>
          <w:lang w:eastAsia="ru-RU"/>
        </w:rPr>
        <w:t>2</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годы, млн. рублей</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p>
    <w:p w:rsidR="009C45F8" w:rsidRPr="001A299F"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исполнения консолидированного бюджета показывает, что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как и в предыдущие пять лет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наблюдалось значительное отклонение фактического исполнения доходов и расходов от их прогнозных значений, что свидетельствует о недостаточной точности</w:t>
      </w:r>
      <w:r>
        <w:rPr>
          <w:rFonts w:ascii="Times New Roman" w:eastAsia="Times New Roman" w:hAnsi="Times New Roman" w:cs="Times New Roman"/>
          <w:sz w:val="24"/>
          <w:szCs w:val="24"/>
          <w:lang w:eastAsia="ru-RU"/>
        </w:rPr>
        <w:t xml:space="preserve"> планирования</w:t>
      </w:r>
      <w:r w:rsidRPr="001A299F">
        <w:rPr>
          <w:rFonts w:ascii="Times New Roman" w:eastAsia="Times New Roman" w:hAnsi="Times New Roman" w:cs="Times New Roman"/>
          <w:sz w:val="24"/>
          <w:szCs w:val="24"/>
          <w:lang w:eastAsia="ru-RU"/>
        </w:rPr>
        <w:t xml:space="preserve"> при формировании областного бюджета и бюджетов муниципальных образований области.</w:t>
      </w:r>
    </w:p>
    <w:p w:rsidR="009C45F8" w:rsidRDefault="009C45F8" w:rsidP="009C45F8">
      <w:pPr>
        <w:spacing w:after="0" w:line="240" w:lineRule="auto"/>
        <w:ind w:firstLine="709"/>
        <w:jc w:val="center"/>
        <w:rPr>
          <w:rFonts w:ascii="Times New Roman" w:eastAsia="Times New Roman" w:hAnsi="Times New Roman" w:cs="Times New Roman"/>
          <w:b/>
          <w:sz w:val="24"/>
          <w:szCs w:val="24"/>
          <w:lang w:eastAsia="ru-RU"/>
        </w:rPr>
      </w:pPr>
    </w:p>
    <w:p w:rsidR="009C45F8" w:rsidRPr="001A299F" w:rsidRDefault="009C45F8" w:rsidP="009C45F8">
      <w:pPr>
        <w:spacing w:after="0" w:line="240" w:lineRule="auto"/>
        <w:ind w:firstLine="709"/>
        <w:jc w:val="center"/>
        <w:rPr>
          <w:rFonts w:ascii="Times New Roman" w:eastAsia="Times New Roman" w:hAnsi="Times New Roman" w:cs="Times New Roman"/>
          <w:sz w:val="24"/>
          <w:szCs w:val="24"/>
          <w:lang w:eastAsia="ru-RU"/>
        </w:rPr>
      </w:pPr>
      <w:r w:rsidRPr="001A299F">
        <w:rPr>
          <w:rFonts w:ascii="Times New Roman" w:eastAsia="Times New Roman" w:hAnsi="Times New Roman" w:cs="Times New Roman"/>
          <w:b/>
          <w:sz w:val="24"/>
          <w:szCs w:val="24"/>
          <w:lang w:eastAsia="ru-RU"/>
        </w:rPr>
        <w:t>3. Исполнение областного бюджета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 по доходам</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Законом Амурской области от </w:t>
      </w:r>
      <w:r>
        <w:rPr>
          <w:rFonts w:ascii="Times New Roman" w:eastAsia="Times New Roman" w:hAnsi="Times New Roman" w:cs="Times New Roman"/>
          <w:sz w:val="24"/>
          <w:szCs w:val="24"/>
          <w:lang w:eastAsia="ru-RU"/>
        </w:rPr>
        <w:t>20</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1A299F">
        <w:rPr>
          <w:rFonts w:ascii="Times New Roman" w:eastAsia="Times New Roman" w:hAnsi="Times New Roman" w:cs="Times New Roman"/>
          <w:sz w:val="24"/>
          <w:szCs w:val="24"/>
          <w:lang w:eastAsia="ru-RU"/>
        </w:rPr>
        <w:t xml:space="preserve">-ОЗ «Об областном бюджете на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и плановый период 2018 и 2019 годов</w:t>
      </w:r>
      <w:r w:rsidRPr="001A299F">
        <w:rPr>
          <w:rFonts w:ascii="Times New Roman" w:eastAsia="Times New Roman" w:hAnsi="Times New Roman" w:cs="Times New Roman"/>
          <w:sz w:val="24"/>
          <w:szCs w:val="24"/>
          <w:lang w:eastAsia="ru-RU"/>
        </w:rPr>
        <w:t xml:space="preserve">» первоначальные назначения по доходам утверждены в сумме </w:t>
      </w:r>
      <w:r>
        <w:rPr>
          <w:rFonts w:ascii="Times New Roman" w:eastAsia="Times New Roman" w:hAnsi="Times New Roman" w:cs="Times New Roman"/>
          <w:sz w:val="24"/>
          <w:szCs w:val="24"/>
          <w:lang w:eastAsia="ru-RU"/>
        </w:rPr>
        <w:t>43790357,0</w:t>
      </w:r>
      <w:r w:rsidRPr="001A299F">
        <w:rPr>
          <w:rFonts w:ascii="Times New Roman" w:eastAsia="Times New Roman" w:hAnsi="Times New Roman" w:cs="Times New Roman"/>
          <w:sz w:val="24"/>
          <w:szCs w:val="24"/>
          <w:lang w:eastAsia="ru-RU"/>
        </w:rPr>
        <w:t xml:space="preserve"> тыс. рублей. В процессе исполнения областного бюджета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в закон об областном бюджете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и плановый период 2018 и 2019 годов </w:t>
      </w:r>
      <w:r w:rsidRPr="001A299F">
        <w:rPr>
          <w:rFonts w:ascii="Times New Roman" w:eastAsia="Times New Roman" w:hAnsi="Times New Roman" w:cs="Times New Roman"/>
          <w:sz w:val="24"/>
          <w:szCs w:val="24"/>
          <w:lang w:eastAsia="ru-RU"/>
        </w:rPr>
        <w:t xml:space="preserve"> ежемесячно законами Амурской области вносились изменения. С учетом внесенных изменений уточненные плановые назначения по доходам областного бюджета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составили </w:t>
      </w:r>
      <w:r>
        <w:rPr>
          <w:rFonts w:ascii="Times New Roman" w:eastAsia="Times New Roman" w:hAnsi="Times New Roman" w:cs="Times New Roman"/>
          <w:sz w:val="24"/>
          <w:szCs w:val="24"/>
          <w:lang w:eastAsia="ru-RU"/>
        </w:rPr>
        <w:t>48001864,1</w:t>
      </w:r>
      <w:r w:rsidRPr="001A299F">
        <w:rPr>
          <w:rFonts w:ascii="Times New Roman" w:eastAsia="Times New Roman" w:hAnsi="Times New Roman" w:cs="Times New Roman"/>
          <w:sz w:val="24"/>
          <w:szCs w:val="24"/>
          <w:lang w:eastAsia="ru-RU"/>
        </w:rPr>
        <w:t xml:space="preserve"> тыс. рублей с увеличением по сравнению с первоначальными назначениями в целом на </w:t>
      </w:r>
      <w:r>
        <w:rPr>
          <w:rFonts w:ascii="Times New Roman" w:eastAsia="Times New Roman" w:hAnsi="Times New Roman" w:cs="Times New Roman"/>
          <w:sz w:val="24"/>
          <w:szCs w:val="24"/>
          <w:lang w:eastAsia="ru-RU"/>
        </w:rPr>
        <w:t>4211507,1</w:t>
      </w:r>
      <w:r w:rsidRPr="001A299F">
        <w:rPr>
          <w:rFonts w:ascii="Times New Roman" w:eastAsia="Times New Roman" w:hAnsi="Times New Roman" w:cs="Times New Roman"/>
          <w:sz w:val="24"/>
          <w:szCs w:val="24"/>
          <w:lang w:eastAsia="ru-RU"/>
        </w:rPr>
        <w:t xml:space="preserve"> тыс. рублей, в том числе объем увеличения безвозмездных поступлений составил </w:t>
      </w:r>
      <w:r>
        <w:rPr>
          <w:rFonts w:ascii="Times New Roman" w:eastAsia="Times New Roman" w:hAnsi="Times New Roman" w:cs="Times New Roman"/>
          <w:sz w:val="24"/>
          <w:szCs w:val="24"/>
          <w:lang w:eastAsia="ru-RU"/>
        </w:rPr>
        <w:t>1769397,5</w:t>
      </w:r>
      <w:r w:rsidRPr="001A299F">
        <w:rPr>
          <w:rFonts w:ascii="Times New Roman" w:eastAsia="Times New Roman" w:hAnsi="Times New Roman" w:cs="Times New Roman"/>
          <w:sz w:val="24"/>
          <w:szCs w:val="24"/>
          <w:lang w:eastAsia="ru-RU"/>
        </w:rPr>
        <w:t xml:space="preserve"> тыс. рублей, налоговых и неналоговых доходов – </w:t>
      </w:r>
      <w:r>
        <w:rPr>
          <w:rFonts w:ascii="Times New Roman" w:eastAsia="Times New Roman" w:hAnsi="Times New Roman" w:cs="Times New Roman"/>
          <w:sz w:val="24"/>
          <w:szCs w:val="24"/>
          <w:lang w:eastAsia="ru-RU"/>
        </w:rPr>
        <w:t>2442109,6</w:t>
      </w:r>
      <w:r w:rsidRPr="001A299F">
        <w:rPr>
          <w:rFonts w:ascii="Times New Roman" w:eastAsia="Times New Roman" w:hAnsi="Times New Roman" w:cs="Times New Roman"/>
          <w:sz w:val="24"/>
          <w:szCs w:val="24"/>
          <w:lang w:eastAsia="ru-RU"/>
        </w:rPr>
        <w:t xml:space="preserve"> тыс. рублей.</w:t>
      </w:r>
    </w:p>
    <w:p w:rsidR="009C45F8" w:rsidRPr="00FD67D8" w:rsidRDefault="009C45F8" w:rsidP="009C45F8">
      <w:pPr>
        <w:autoSpaceDE w:val="0"/>
        <w:autoSpaceDN w:val="0"/>
        <w:adjustRightInd w:val="0"/>
        <w:spacing w:after="0" w:line="240" w:lineRule="auto"/>
        <w:ind w:firstLine="709"/>
        <w:jc w:val="both"/>
        <w:rPr>
          <w:rFonts w:ascii="Times New Roman" w:hAnsi="Times New Roman" w:cs="Times New Roman"/>
          <w:sz w:val="24"/>
          <w:szCs w:val="24"/>
        </w:rPr>
      </w:pPr>
      <w:r w:rsidRPr="000374AE">
        <w:rPr>
          <w:rFonts w:ascii="Times New Roman" w:hAnsi="Times New Roman" w:cs="Times New Roman"/>
          <w:sz w:val="24"/>
          <w:szCs w:val="24"/>
        </w:rPr>
        <w:t xml:space="preserve">Законом Амурской области от </w:t>
      </w:r>
      <w:r>
        <w:rPr>
          <w:rFonts w:ascii="Times New Roman" w:hAnsi="Times New Roman" w:cs="Times New Roman"/>
          <w:sz w:val="24"/>
          <w:szCs w:val="24"/>
        </w:rPr>
        <w:t>20</w:t>
      </w:r>
      <w:r w:rsidRPr="000374AE">
        <w:rPr>
          <w:rFonts w:ascii="Times New Roman" w:hAnsi="Times New Roman" w:cs="Times New Roman"/>
          <w:sz w:val="24"/>
          <w:szCs w:val="24"/>
        </w:rPr>
        <w:t>.12.201</w:t>
      </w:r>
      <w:r>
        <w:rPr>
          <w:rFonts w:ascii="Times New Roman" w:hAnsi="Times New Roman" w:cs="Times New Roman"/>
          <w:sz w:val="24"/>
          <w:szCs w:val="24"/>
        </w:rPr>
        <w:t>6</w:t>
      </w:r>
      <w:r w:rsidRPr="000374AE">
        <w:rPr>
          <w:rFonts w:ascii="Times New Roman" w:hAnsi="Times New Roman" w:cs="Times New Roman"/>
          <w:sz w:val="24"/>
          <w:szCs w:val="24"/>
        </w:rPr>
        <w:t xml:space="preserve"> № </w:t>
      </w:r>
      <w:r>
        <w:rPr>
          <w:rFonts w:ascii="Times New Roman" w:hAnsi="Times New Roman" w:cs="Times New Roman"/>
          <w:sz w:val="24"/>
          <w:szCs w:val="24"/>
        </w:rPr>
        <w:t>27</w:t>
      </w:r>
      <w:r w:rsidRPr="000374AE">
        <w:rPr>
          <w:rFonts w:ascii="Times New Roman" w:hAnsi="Times New Roman" w:cs="Times New Roman"/>
          <w:sz w:val="24"/>
          <w:szCs w:val="24"/>
        </w:rPr>
        <w:t xml:space="preserve">-ОЗ «Об областном бюджете на </w:t>
      </w:r>
      <w:r w:rsidRPr="000374AE">
        <w:rPr>
          <w:rFonts w:ascii="Times New Roman" w:hAnsi="Times New Roman" w:cs="Times New Roman"/>
          <w:sz w:val="24"/>
          <w:szCs w:val="24"/>
        </w:rPr>
        <w:br/>
        <w:t>201</w:t>
      </w:r>
      <w:r>
        <w:rPr>
          <w:rFonts w:ascii="Times New Roman" w:hAnsi="Times New Roman" w:cs="Times New Roman"/>
          <w:sz w:val="24"/>
          <w:szCs w:val="24"/>
        </w:rPr>
        <w:t>7</w:t>
      </w:r>
      <w:r w:rsidRPr="000374AE">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2018 и 2019 годов»</w:t>
      </w:r>
      <w:r w:rsidRPr="000374AE">
        <w:rPr>
          <w:rFonts w:ascii="Times New Roman" w:hAnsi="Times New Roman" w:cs="Times New Roman"/>
          <w:sz w:val="24"/>
          <w:szCs w:val="24"/>
        </w:rPr>
        <w:t xml:space="preserve"> (в редакции от 2</w:t>
      </w:r>
      <w:r>
        <w:rPr>
          <w:rFonts w:ascii="Times New Roman" w:hAnsi="Times New Roman" w:cs="Times New Roman"/>
          <w:sz w:val="24"/>
          <w:szCs w:val="24"/>
        </w:rPr>
        <w:t>1</w:t>
      </w:r>
      <w:r w:rsidRPr="000374AE">
        <w:rPr>
          <w:rFonts w:ascii="Times New Roman" w:hAnsi="Times New Roman" w:cs="Times New Roman"/>
          <w:sz w:val="24"/>
          <w:szCs w:val="24"/>
        </w:rPr>
        <w:t>.12.201</w:t>
      </w:r>
      <w:r>
        <w:rPr>
          <w:rFonts w:ascii="Times New Roman" w:hAnsi="Times New Roman" w:cs="Times New Roman"/>
          <w:sz w:val="24"/>
          <w:szCs w:val="24"/>
        </w:rPr>
        <w:t>7</w:t>
      </w:r>
      <w:r w:rsidRPr="000374AE">
        <w:rPr>
          <w:rFonts w:ascii="Times New Roman" w:hAnsi="Times New Roman" w:cs="Times New Roman"/>
          <w:sz w:val="24"/>
          <w:szCs w:val="24"/>
        </w:rPr>
        <w:t xml:space="preserve">) утвержден прогнозируемый общий объем доходов областного бюджета в сумме </w:t>
      </w:r>
      <w:r>
        <w:rPr>
          <w:rFonts w:ascii="Times New Roman" w:hAnsi="Times New Roman" w:cs="Times New Roman"/>
          <w:sz w:val="24"/>
          <w:szCs w:val="24"/>
        </w:rPr>
        <w:t>48001864,1</w:t>
      </w:r>
      <w:r w:rsidRPr="000374AE">
        <w:rPr>
          <w:rFonts w:ascii="Times New Roman" w:hAnsi="Times New Roman" w:cs="Times New Roman"/>
          <w:sz w:val="24"/>
          <w:szCs w:val="24"/>
        </w:rPr>
        <w:t xml:space="preserve"> тыс. рублей, прогнозируемый общий объем налоговых и неналоговых доходов областного бюджета в сумме </w:t>
      </w:r>
      <w:r>
        <w:rPr>
          <w:rFonts w:ascii="Times New Roman" w:hAnsi="Times New Roman" w:cs="Times New Roman"/>
          <w:sz w:val="24"/>
          <w:szCs w:val="24"/>
        </w:rPr>
        <w:t>37992863,1</w:t>
      </w:r>
      <w:r w:rsidRPr="000374AE">
        <w:rPr>
          <w:rFonts w:ascii="Times New Roman" w:hAnsi="Times New Roman" w:cs="Times New Roman"/>
          <w:sz w:val="24"/>
          <w:szCs w:val="24"/>
        </w:rPr>
        <w:t xml:space="preserve"> тыс. рублей, прогнозируемый объем безвозмездных поступлений – в сумме </w:t>
      </w:r>
      <w:r>
        <w:rPr>
          <w:rFonts w:ascii="Times New Roman" w:hAnsi="Times New Roman" w:cs="Times New Roman"/>
          <w:sz w:val="24"/>
          <w:szCs w:val="24"/>
        </w:rPr>
        <w:t>10009001,0</w:t>
      </w:r>
      <w:r w:rsidRPr="000374AE">
        <w:rPr>
          <w:rFonts w:ascii="Times New Roman" w:hAnsi="Times New Roman" w:cs="Times New Roman"/>
          <w:sz w:val="24"/>
          <w:szCs w:val="24"/>
        </w:rPr>
        <w:t xml:space="preserve"> тыс. рублей, прогнозируемые объемы налоговых и неналоговых доходов областного бюджета на 201</w:t>
      </w:r>
      <w:r>
        <w:rPr>
          <w:rFonts w:ascii="Times New Roman" w:hAnsi="Times New Roman" w:cs="Times New Roman"/>
          <w:sz w:val="24"/>
          <w:szCs w:val="24"/>
        </w:rPr>
        <w:t>7</w:t>
      </w:r>
      <w:r w:rsidRPr="000374AE">
        <w:rPr>
          <w:rFonts w:ascii="Times New Roman" w:hAnsi="Times New Roman" w:cs="Times New Roman"/>
          <w:sz w:val="24"/>
          <w:szCs w:val="24"/>
        </w:rPr>
        <w:t xml:space="preserve"> год </w:t>
      </w:r>
      <w:r>
        <w:rPr>
          <w:rFonts w:ascii="Times New Roman" w:hAnsi="Times New Roman" w:cs="Times New Roman"/>
          <w:sz w:val="24"/>
          <w:szCs w:val="24"/>
        </w:rPr>
        <w:t xml:space="preserve">и плановый период 2018 и 2019 годов </w:t>
      </w:r>
      <w:r w:rsidRPr="000374AE">
        <w:rPr>
          <w:rFonts w:ascii="Times New Roman" w:hAnsi="Times New Roman" w:cs="Times New Roman"/>
          <w:sz w:val="24"/>
          <w:szCs w:val="24"/>
        </w:rPr>
        <w:t>по кодам видов и подвидов доходов (Приложение № 1 к Закону с учетом изменений), прогнозируемые объемы безвозмездных поступлений в областной бюджет на 201</w:t>
      </w:r>
      <w:r>
        <w:rPr>
          <w:rFonts w:ascii="Times New Roman" w:hAnsi="Times New Roman" w:cs="Times New Roman"/>
          <w:sz w:val="24"/>
          <w:szCs w:val="24"/>
        </w:rPr>
        <w:t>7</w:t>
      </w:r>
      <w:r w:rsidRPr="000374AE">
        <w:rPr>
          <w:rFonts w:ascii="Times New Roman" w:hAnsi="Times New Roman" w:cs="Times New Roman"/>
          <w:sz w:val="24"/>
          <w:szCs w:val="24"/>
        </w:rPr>
        <w:t xml:space="preserve"> год </w:t>
      </w:r>
      <w:r>
        <w:rPr>
          <w:rFonts w:ascii="Times New Roman" w:hAnsi="Times New Roman" w:cs="Times New Roman"/>
          <w:sz w:val="24"/>
          <w:szCs w:val="24"/>
        </w:rPr>
        <w:t xml:space="preserve">и плановый период 2018 и </w:t>
      </w:r>
      <w:r>
        <w:rPr>
          <w:rFonts w:ascii="Times New Roman" w:hAnsi="Times New Roman" w:cs="Times New Roman"/>
          <w:sz w:val="24"/>
          <w:szCs w:val="24"/>
        </w:rPr>
        <w:br/>
        <w:t xml:space="preserve">2019 годов </w:t>
      </w:r>
      <w:r w:rsidRPr="000374AE">
        <w:rPr>
          <w:rFonts w:ascii="Times New Roman" w:hAnsi="Times New Roman" w:cs="Times New Roman"/>
          <w:sz w:val="24"/>
          <w:szCs w:val="24"/>
        </w:rPr>
        <w:t xml:space="preserve">по кодам видов и подвидов доходов (Приложение № 2 к Закону с учетом изменений). </w:t>
      </w:r>
      <w:r w:rsidRPr="00FD67D8">
        <w:rPr>
          <w:rFonts w:ascii="Times New Roman" w:hAnsi="Times New Roman" w:cs="Times New Roman"/>
          <w:sz w:val="24"/>
          <w:szCs w:val="24"/>
        </w:rPr>
        <w:t xml:space="preserve">Объем плановых назначений по доходам на 2017 год (общий объем доходов областного бюджета, общий объем налоговых и неналоговых доходов областного бюджета, в том числе по кодам видов и подвидов доходов, объем безвозмездных поступлений, в том числе по кодам видов и подвидов доходов), отраженный в «Отчете об исполнении консолидированного бюджета субъекта Российской Федерации и бюджета территориального государственного внебюджетного фонда» (форма 0503317), соответствует аналогичным </w:t>
      </w:r>
      <w:r w:rsidRPr="00FD67D8">
        <w:rPr>
          <w:rFonts w:ascii="Times New Roman" w:hAnsi="Times New Roman" w:cs="Times New Roman"/>
          <w:sz w:val="24"/>
          <w:szCs w:val="24"/>
        </w:rPr>
        <w:lastRenderedPageBreak/>
        <w:t>показателям по доходам, утвержденным законом области об областном бюджете на 2017 год и плановый период 2018 и 2019 годов.</w:t>
      </w:r>
    </w:p>
    <w:p w:rsidR="009C45F8" w:rsidRPr="001A299F"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областного бюджета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по доходам составляет </w:t>
      </w:r>
      <w:r>
        <w:rPr>
          <w:rFonts w:ascii="Times New Roman" w:eastAsia="Times New Roman" w:hAnsi="Times New Roman" w:cs="Times New Roman"/>
          <w:sz w:val="24"/>
          <w:szCs w:val="24"/>
          <w:lang w:eastAsia="ru-RU"/>
        </w:rPr>
        <w:t>49062950,8</w:t>
      </w:r>
      <w:r w:rsidRPr="001A299F">
        <w:rPr>
          <w:rFonts w:ascii="Times New Roman" w:eastAsia="Times New Roman" w:hAnsi="Times New Roman" w:cs="Times New Roman"/>
          <w:sz w:val="24"/>
          <w:szCs w:val="24"/>
          <w:lang w:eastAsia="ru-RU"/>
        </w:rPr>
        <w:t xml:space="preserve"> тыс. рублей, или 10</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к годовым плановым назначениям.</w:t>
      </w:r>
    </w:p>
    <w:p w:rsidR="009C45F8" w:rsidRPr="00A84BD5" w:rsidRDefault="009C45F8" w:rsidP="009C45F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A299F">
        <w:rPr>
          <w:rFonts w:ascii="Times New Roman" w:eastAsia="Times New Roman" w:hAnsi="Times New Roman" w:cs="Times New Roman"/>
          <w:sz w:val="24"/>
          <w:szCs w:val="24"/>
          <w:lang w:eastAsia="ru-RU"/>
        </w:rPr>
        <w:t>На протяжении семи лет (20</w:t>
      </w:r>
      <w:r>
        <w:rPr>
          <w:rFonts w:ascii="Times New Roman" w:eastAsia="Times New Roman" w:hAnsi="Times New Roman" w:cs="Times New Roman"/>
          <w:sz w:val="24"/>
          <w:szCs w:val="24"/>
          <w:lang w:eastAsia="ru-RU"/>
        </w:rPr>
        <w:t>11</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наблюдается увеличение поступлений как общего объема доходов областного бюджета (с </w:t>
      </w:r>
      <w:r>
        <w:rPr>
          <w:rFonts w:ascii="Times New Roman" w:eastAsia="Times New Roman" w:hAnsi="Times New Roman" w:cs="Times New Roman"/>
          <w:sz w:val="24"/>
          <w:szCs w:val="24"/>
          <w:lang w:eastAsia="ru-RU"/>
        </w:rPr>
        <w:t>43023272,5</w:t>
      </w:r>
      <w:r w:rsidRPr="001A299F">
        <w:rPr>
          <w:rFonts w:ascii="Times New Roman" w:eastAsia="Times New Roman" w:hAnsi="Times New Roman" w:cs="Times New Roman"/>
          <w:sz w:val="24"/>
          <w:szCs w:val="24"/>
          <w:lang w:eastAsia="ru-RU"/>
        </w:rPr>
        <w:t xml:space="preserve"> тыс. рублей в 20</w:t>
      </w:r>
      <w:r>
        <w:rPr>
          <w:rFonts w:ascii="Times New Roman" w:eastAsia="Times New Roman" w:hAnsi="Times New Roman" w:cs="Times New Roman"/>
          <w:sz w:val="24"/>
          <w:szCs w:val="24"/>
          <w:lang w:eastAsia="ru-RU"/>
        </w:rPr>
        <w:t>11</w:t>
      </w:r>
      <w:r w:rsidRPr="001A299F">
        <w:rPr>
          <w:rFonts w:ascii="Times New Roman" w:eastAsia="Times New Roman" w:hAnsi="Times New Roman" w:cs="Times New Roman"/>
          <w:sz w:val="24"/>
          <w:szCs w:val="24"/>
          <w:lang w:eastAsia="ru-RU"/>
        </w:rPr>
        <w:t xml:space="preserve"> году до </w:t>
      </w:r>
      <w:r>
        <w:rPr>
          <w:rFonts w:ascii="Times New Roman" w:eastAsia="Times New Roman" w:hAnsi="Times New Roman" w:cs="Times New Roman"/>
          <w:sz w:val="24"/>
          <w:szCs w:val="24"/>
          <w:lang w:eastAsia="ru-RU"/>
        </w:rPr>
        <w:t>49062950,8</w:t>
      </w:r>
      <w:r w:rsidRPr="003F37C5">
        <w:rPr>
          <w:rFonts w:ascii="Times New Roman" w:eastAsia="Times New Roman" w:hAnsi="Times New Roman" w:cs="Times New Roman"/>
          <w:sz w:val="24"/>
          <w:szCs w:val="24"/>
          <w:lang w:eastAsia="ru-RU"/>
        </w:rPr>
        <w:t xml:space="preserve"> тыс. рублей в 201</w:t>
      </w:r>
      <w:r>
        <w:rPr>
          <w:rFonts w:ascii="Times New Roman" w:eastAsia="Times New Roman" w:hAnsi="Times New Roman" w:cs="Times New Roman"/>
          <w:sz w:val="24"/>
          <w:szCs w:val="24"/>
          <w:lang w:eastAsia="ru-RU"/>
        </w:rPr>
        <w:t>7</w:t>
      </w:r>
      <w:r w:rsidRPr="003F37C5">
        <w:rPr>
          <w:rFonts w:ascii="Times New Roman" w:eastAsia="Times New Roman" w:hAnsi="Times New Roman" w:cs="Times New Roman"/>
          <w:sz w:val="24"/>
          <w:szCs w:val="24"/>
          <w:lang w:eastAsia="ru-RU"/>
        </w:rPr>
        <w:t xml:space="preserve"> году), так и налоговых и неналоговых доходов областного бюджета (с </w:t>
      </w:r>
      <w:r>
        <w:rPr>
          <w:rFonts w:ascii="Times New Roman" w:eastAsia="Times New Roman" w:hAnsi="Times New Roman" w:cs="Times New Roman"/>
          <w:sz w:val="24"/>
          <w:szCs w:val="24"/>
          <w:lang w:eastAsia="ru-RU"/>
        </w:rPr>
        <w:t>2349626</w:t>
      </w:r>
      <w:r w:rsidR="005A1DB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3F37C5">
        <w:rPr>
          <w:rFonts w:ascii="Times New Roman" w:eastAsia="Times New Roman" w:hAnsi="Times New Roman" w:cs="Times New Roman"/>
          <w:sz w:val="24"/>
          <w:szCs w:val="24"/>
          <w:lang w:eastAsia="ru-RU"/>
        </w:rPr>
        <w:t xml:space="preserve"> тыс. рублей в 201</w:t>
      </w:r>
      <w:r>
        <w:rPr>
          <w:rFonts w:ascii="Times New Roman" w:eastAsia="Times New Roman" w:hAnsi="Times New Roman" w:cs="Times New Roman"/>
          <w:sz w:val="24"/>
          <w:szCs w:val="24"/>
          <w:lang w:eastAsia="ru-RU"/>
        </w:rPr>
        <w:t>1</w:t>
      </w:r>
      <w:r w:rsidRPr="003F37C5">
        <w:rPr>
          <w:rFonts w:ascii="Times New Roman" w:eastAsia="Times New Roman" w:hAnsi="Times New Roman" w:cs="Times New Roman"/>
          <w:sz w:val="24"/>
          <w:szCs w:val="24"/>
          <w:lang w:eastAsia="ru-RU"/>
        </w:rPr>
        <w:t xml:space="preserve"> году до </w:t>
      </w:r>
      <w:r>
        <w:rPr>
          <w:rFonts w:ascii="Times New Roman" w:eastAsia="Times New Roman" w:hAnsi="Times New Roman" w:cs="Times New Roman"/>
          <w:sz w:val="24"/>
          <w:szCs w:val="24"/>
          <w:lang w:eastAsia="ru-RU"/>
        </w:rPr>
        <w:t>38174313,3</w:t>
      </w:r>
      <w:r w:rsidRPr="003F37C5">
        <w:rPr>
          <w:rFonts w:ascii="Times New Roman" w:eastAsia="Times New Roman" w:hAnsi="Times New Roman" w:cs="Times New Roman"/>
          <w:sz w:val="24"/>
          <w:szCs w:val="24"/>
          <w:lang w:eastAsia="ru-RU"/>
        </w:rPr>
        <w:t xml:space="preserve"> тыс. рублей в 201</w:t>
      </w:r>
      <w:r>
        <w:rPr>
          <w:rFonts w:ascii="Times New Roman" w:eastAsia="Times New Roman" w:hAnsi="Times New Roman" w:cs="Times New Roman"/>
          <w:sz w:val="24"/>
          <w:szCs w:val="24"/>
          <w:lang w:eastAsia="ru-RU"/>
        </w:rPr>
        <w:t>7</w:t>
      </w:r>
      <w:r w:rsidRPr="003F37C5">
        <w:rPr>
          <w:rFonts w:ascii="Times New Roman" w:eastAsia="Times New Roman" w:hAnsi="Times New Roman" w:cs="Times New Roman"/>
          <w:sz w:val="24"/>
          <w:szCs w:val="24"/>
          <w:lang w:eastAsia="ru-RU"/>
        </w:rPr>
        <w:t xml:space="preserve"> году).</w:t>
      </w:r>
      <w:proofErr w:type="gramEnd"/>
      <w:r w:rsidRPr="003F37C5">
        <w:rPr>
          <w:rFonts w:ascii="Times New Roman" w:eastAsia="Times New Roman" w:hAnsi="Times New Roman" w:cs="Times New Roman"/>
          <w:sz w:val="24"/>
          <w:szCs w:val="24"/>
          <w:lang w:eastAsia="ru-RU"/>
        </w:rPr>
        <w:t xml:space="preserve"> Наибольший объем поступлений доходов областного бюджета приходится на 2013 год – 66775121,4 тыс. рублей, за счет безвозмездных поступлений (40234090,3 тыс.</w:t>
      </w:r>
      <w:r w:rsidRPr="001A299F">
        <w:rPr>
          <w:rFonts w:ascii="Times New Roman" w:eastAsia="Times New Roman" w:hAnsi="Times New Roman" w:cs="Times New Roman"/>
          <w:sz w:val="24"/>
          <w:szCs w:val="24"/>
          <w:lang w:eastAsia="ru-RU"/>
        </w:rPr>
        <w:t xml:space="preserve"> рублей) – средства федерального бюджета на ликвидацию последствий крупномасштабного наводнения в Амурской области. </w:t>
      </w:r>
      <w:r>
        <w:rPr>
          <w:rFonts w:ascii="Times New Roman" w:eastAsia="Times New Roman" w:hAnsi="Times New Roman" w:cs="Times New Roman"/>
          <w:sz w:val="24"/>
          <w:szCs w:val="24"/>
          <w:lang w:eastAsia="ru-RU"/>
        </w:rPr>
        <w:t>В 2015 году по сравнению с 2014 годом наблюдается снижение общего объема поступлений доходов на 1952387,0 тыс. рублей, или 4,</w:t>
      </w:r>
      <w:r w:rsidR="005A1DB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процента (в основном за счет снижения объема безвозмездных поступлений).  </w:t>
      </w:r>
      <w:r w:rsidRPr="001A299F">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годом наблюдается </w:t>
      </w:r>
      <w:r>
        <w:rPr>
          <w:rFonts w:ascii="Times New Roman" w:eastAsia="Times New Roman" w:hAnsi="Times New Roman" w:cs="Times New Roman"/>
          <w:sz w:val="24"/>
          <w:szCs w:val="24"/>
          <w:lang w:eastAsia="ru-RU"/>
        </w:rPr>
        <w:t>увеличение</w:t>
      </w:r>
      <w:r w:rsidRPr="001A299F">
        <w:rPr>
          <w:rFonts w:ascii="Times New Roman" w:eastAsia="Times New Roman" w:hAnsi="Times New Roman" w:cs="Times New Roman"/>
          <w:sz w:val="24"/>
          <w:szCs w:val="24"/>
          <w:lang w:eastAsia="ru-RU"/>
        </w:rPr>
        <w:t xml:space="preserve"> общего объема поступлений доходов областного бюджета на </w:t>
      </w:r>
      <w:r>
        <w:rPr>
          <w:rFonts w:ascii="Times New Roman" w:eastAsia="Times New Roman" w:hAnsi="Times New Roman" w:cs="Times New Roman"/>
          <w:sz w:val="24"/>
          <w:szCs w:val="24"/>
          <w:lang w:eastAsia="ru-RU"/>
        </w:rPr>
        <w:t>4498683,1</w:t>
      </w:r>
      <w:r w:rsidRPr="001A299F">
        <w:rPr>
          <w:rFonts w:ascii="Times New Roman" w:hAnsi="Times New Roman" w:cs="Times New Roman"/>
          <w:color w:val="000000"/>
          <w:sz w:val="24"/>
          <w:szCs w:val="24"/>
        </w:rPr>
        <w:t xml:space="preserve"> тыс. рублей, или </w:t>
      </w:r>
      <w:r>
        <w:rPr>
          <w:rFonts w:ascii="Times New Roman" w:hAnsi="Times New Roman" w:cs="Times New Roman"/>
          <w:color w:val="000000"/>
          <w:sz w:val="24"/>
          <w:szCs w:val="24"/>
        </w:rPr>
        <w:t>10</w:t>
      </w:r>
      <w:r w:rsidRPr="001A299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1A299F">
        <w:rPr>
          <w:rFonts w:ascii="Times New Roman" w:hAnsi="Times New Roman" w:cs="Times New Roman"/>
          <w:color w:val="000000"/>
          <w:sz w:val="24"/>
          <w:szCs w:val="24"/>
        </w:rPr>
        <w:t xml:space="preserve"> процента, в том числе безвозмездных поступлений на </w:t>
      </w:r>
      <w:r>
        <w:rPr>
          <w:rFonts w:ascii="Times New Roman" w:hAnsi="Times New Roman" w:cs="Times New Roman"/>
          <w:color w:val="000000"/>
          <w:sz w:val="24"/>
          <w:szCs w:val="24"/>
        </w:rPr>
        <w:t>1200602,4</w:t>
      </w:r>
      <w:r w:rsidRPr="001A299F">
        <w:rPr>
          <w:rFonts w:ascii="Times New Roman" w:hAnsi="Times New Roman" w:cs="Times New Roman"/>
          <w:color w:val="000000"/>
          <w:sz w:val="24"/>
          <w:szCs w:val="24"/>
        </w:rPr>
        <w:t xml:space="preserve"> тыс. рублей, или </w:t>
      </w:r>
      <w:r>
        <w:rPr>
          <w:rFonts w:ascii="Times New Roman" w:hAnsi="Times New Roman" w:cs="Times New Roman"/>
          <w:color w:val="000000"/>
          <w:sz w:val="24"/>
          <w:szCs w:val="24"/>
        </w:rPr>
        <w:t>10</w:t>
      </w:r>
      <w:r w:rsidRPr="001A299F">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1A299F">
        <w:rPr>
          <w:rFonts w:ascii="Times New Roman" w:hAnsi="Times New Roman" w:cs="Times New Roman"/>
          <w:color w:val="000000"/>
          <w:sz w:val="24"/>
          <w:szCs w:val="24"/>
        </w:rPr>
        <w:t xml:space="preserve"> процент</w:t>
      </w:r>
      <w:r>
        <w:rPr>
          <w:rFonts w:ascii="Times New Roman" w:hAnsi="Times New Roman" w:cs="Times New Roman"/>
          <w:color w:val="000000"/>
          <w:sz w:val="24"/>
          <w:szCs w:val="24"/>
        </w:rPr>
        <w:t xml:space="preserve">ов, налоговых и неналоговых доходов областного бюджета </w:t>
      </w:r>
      <w:r w:rsidRPr="00A84BD5">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84BD5">
        <w:rPr>
          <w:rFonts w:ascii="Times New Roman" w:hAnsi="Times New Roman" w:cs="Times New Roman"/>
          <w:color w:val="000000"/>
          <w:sz w:val="24"/>
          <w:szCs w:val="24"/>
        </w:rPr>
        <w:t>3298080,7 тыс. рублей, или 10,3 процента.</w:t>
      </w:r>
      <w:r>
        <w:rPr>
          <w:rFonts w:ascii="Times New Roman" w:hAnsi="Times New Roman" w:cs="Times New Roman"/>
          <w:color w:val="000000"/>
          <w:sz w:val="24"/>
          <w:szCs w:val="24"/>
        </w:rPr>
        <w:t xml:space="preserve"> В 2017 году по сравнению с 2016 годом увеличение общего объема поступлений доходов областного бюджета составляет 528813,9 тыс. рублей, или 1,1 процента, в том числе увеличение объема налоговых и неналоговых доходов областного бюджета составляет 2906631,3 тыс. рублей, или 8,2 процента. По безвозмездным поступлениям в 2017 году по сравнению с 2016 годом наблюдается снижение объема поступлений на 2377817,4 тыс. рублей, или 17,9 процента.  </w:t>
      </w:r>
      <w:r w:rsidRPr="00A84BD5">
        <w:rPr>
          <w:rFonts w:ascii="Times New Roman" w:hAnsi="Times New Roman" w:cs="Times New Roman"/>
          <w:color w:val="000000"/>
          <w:sz w:val="24"/>
          <w:szCs w:val="24"/>
        </w:rPr>
        <w:t xml:space="preserve"> </w:t>
      </w:r>
    </w:p>
    <w:p w:rsidR="009C45F8" w:rsidRP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color w:val="000000"/>
          <w:sz w:val="24"/>
          <w:szCs w:val="24"/>
        </w:rPr>
        <w:t>Д</w:t>
      </w:r>
      <w:r w:rsidRPr="001A299F">
        <w:rPr>
          <w:rFonts w:ascii="Times New Roman" w:eastAsia="Times New Roman" w:hAnsi="Times New Roman" w:cs="Times New Roman"/>
          <w:color w:val="000000"/>
          <w:sz w:val="24"/>
          <w:szCs w:val="24"/>
          <w:lang w:eastAsia="ru-RU"/>
        </w:rPr>
        <w:t xml:space="preserve">инамика поступления доходов областного бюджета представлена диаграммой </w:t>
      </w:r>
      <w:r w:rsidRPr="001822A5">
        <w:rPr>
          <w:rFonts w:ascii="Times New Roman" w:eastAsia="Times New Roman" w:hAnsi="Times New Roman" w:cs="Times New Roman"/>
          <w:color w:val="FF0000"/>
          <w:sz w:val="24"/>
          <w:szCs w:val="24"/>
          <w:lang w:eastAsia="ru-RU"/>
        </w:rPr>
        <w:t xml:space="preserve">на </w:t>
      </w:r>
      <w:r w:rsidRPr="009C45F8">
        <w:rPr>
          <w:rFonts w:ascii="Times New Roman" w:eastAsia="Times New Roman" w:hAnsi="Times New Roman" w:cs="Times New Roman"/>
          <w:sz w:val="24"/>
          <w:szCs w:val="24"/>
          <w:lang w:eastAsia="ru-RU"/>
        </w:rPr>
        <w:t>рисунке 16.</w:t>
      </w:r>
    </w:p>
    <w:p w:rsidR="009C45F8" w:rsidRPr="00FE08FC"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45F8" w:rsidRPr="001A299F" w:rsidRDefault="009C45F8" w:rsidP="009C45F8">
      <w:pPr>
        <w:spacing w:after="0" w:line="240" w:lineRule="auto"/>
        <w:jc w:val="both"/>
        <w:rPr>
          <w:rFonts w:ascii="Times New Roman" w:hAnsi="Times New Roman" w:cs="Times New Roman"/>
          <w:sz w:val="24"/>
          <w:szCs w:val="24"/>
        </w:rPr>
      </w:pPr>
      <w:r w:rsidRPr="001A299F">
        <w:rPr>
          <w:rFonts w:ascii="Times New Roman" w:eastAsia="Times New Roman" w:hAnsi="Times New Roman" w:cs="Times New Roman"/>
          <w:noProof/>
          <w:color w:val="DBE5F1"/>
          <w:sz w:val="24"/>
          <w:szCs w:val="24"/>
          <w:lang w:eastAsia="ru-RU"/>
        </w:rPr>
        <w:drawing>
          <wp:inline distT="0" distB="0" distL="0" distR="0" wp14:anchorId="1CCDE10F" wp14:editId="213FC535">
            <wp:extent cx="6115050" cy="42005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C45F8" w:rsidRPr="001A299F" w:rsidRDefault="009C45F8" w:rsidP="009C45F8">
      <w:pPr>
        <w:spacing w:after="0" w:line="240" w:lineRule="auto"/>
        <w:ind w:firstLine="720"/>
        <w:jc w:val="center"/>
        <w:rPr>
          <w:rFonts w:ascii="Times New Roman" w:hAnsi="Times New Roman" w:cs="Times New Roman"/>
          <w:b/>
          <w:sz w:val="24"/>
          <w:szCs w:val="24"/>
        </w:rPr>
      </w:pPr>
      <w:r w:rsidRPr="009C45F8">
        <w:rPr>
          <w:rFonts w:ascii="Times New Roman" w:hAnsi="Times New Roman" w:cs="Times New Roman"/>
          <w:b/>
          <w:sz w:val="24"/>
          <w:szCs w:val="24"/>
        </w:rPr>
        <w:t>Рис. 16 -</w:t>
      </w:r>
      <w:r w:rsidRPr="001A299F">
        <w:rPr>
          <w:rFonts w:ascii="Times New Roman" w:hAnsi="Times New Roman" w:cs="Times New Roman"/>
          <w:b/>
          <w:sz w:val="24"/>
          <w:szCs w:val="24"/>
        </w:rPr>
        <w:t>Динамика поступления доходов областного бюджета за 20</w:t>
      </w:r>
      <w:r>
        <w:rPr>
          <w:rFonts w:ascii="Times New Roman" w:hAnsi="Times New Roman" w:cs="Times New Roman"/>
          <w:b/>
          <w:sz w:val="24"/>
          <w:szCs w:val="24"/>
        </w:rPr>
        <w:t>11</w:t>
      </w:r>
      <w:r w:rsidRPr="001A299F">
        <w:rPr>
          <w:rFonts w:ascii="Times New Roman" w:hAnsi="Times New Roman" w:cs="Times New Roman"/>
          <w:b/>
          <w:sz w:val="24"/>
          <w:szCs w:val="24"/>
        </w:rPr>
        <w:t>-201</w:t>
      </w:r>
      <w:r>
        <w:rPr>
          <w:rFonts w:ascii="Times New Roman" w:hAnsi="Times New Roman" w:cs="Times New Roman"/>
          <w:b/>
          <w:sz w:val="24"/>
          <w:szCs w:val="24"/>
        </w:rPr>
        <w:t>7</w:t>
      </w:r>
      <w:r w:rsidRPr="001A299F">
        <w:rPr>
          <w:rFonts w:ascii="Times New Roman" w:hAnsi="Times New Roman" w:cs="Times New Roman"/>
          <w:b/>
          <w:sz w:val="24"/>
          <w:szCs w:val="24"/>
        </w:rPr>
        <w:t xml:space="preserve"> годы, </w:t>
      </w:r>
      <w:r w:rsidRPr="001A299F">
        <w:rPr>
          <w:rFonts w:ascii="Times New Roman" w:hAnsi="Times New Roman" w:cs="Times New Roman"/>
          <w:b/>
          <w:sz w:val="24"/>
          <w:szCs w:val="24"/>
        </w:rPr>
        <w:br/>
        <w:t>млн. рублей</w:t>
      </w:r>
    </w:p>
    <w:p w:rsidR="009C45F8" w:rsidRPr="0015769B" w:rsidRDefault="009C45F8" w:rsidP="009C45F8">
      <w:pPr>
        <w:spacing w:after="0" w:line="240" w:lineRule="auto"/>
        <w:ind w:firstLine="709"/>
        <w:jc w:val="both"/>
        <w:rPr>
          <w:rFonts w:ascii="Times New Roman" w:hAnsi="Times New Roman" w:cs="Times New Roman"/>
          <w:sz w:val="24"/>
          <w:szCs w:val="24"/>
        </w:rPr>
      </w:pPr>
      <w:r w:rsidRPr="0015769B">
        <w:rPr>
          <w:rFonts w:ascii="Times New Roman" w:hAnsi="Times New Roman" w:cs="Times New Roman"/>
          <w:sz w:val="24"/>
          <w:szCs w:val="24"/>
        </w:rPr>
        <w:lastRenderedPageBreak/>
        <w:t>Анализ исполнения областного бюджета по доходам за 2017 год проведен на основании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приложени</w:t>
      </w:r>
      <w:r>
        <w:rPr>
          <w:rFonts w:ascii="Times New Roman" w:hAnsi="Times New Roman" w:cs="Times New Roman"/>
          <w:sz w:val="24"/>
          <w:szCs w:val="24"/>
        </w:rPr>
        <w:t>й</w:t>
      </w:r>
      <w:r w:rsidRPr="0015769B">
        <w:rPr>
          <w:rFonts w:ascii="Times New Roman" w:hAnsi="Times New Roman" w:cs="Times New Roman"/>
          <w:sz w:val="24"/>
          <w:szCs w:val="24"/>
        </w:rPr>
        <w:t xml:space="preserve"> №</w:t>
      </w:r>
      <w:r>
        <w:rPr>
          <w:rFonts w:ascii="Times New Roman" w:hAnsi="Times New Roman" w:cs="Times New Roman"/>
          <w:sz w:val="24"/>
          <w:szCs w:val="24"/>
        </w:rPr>
        <w:t>№</w:t>
      </w:r>
      <w:r w:rsidRPr="0015769B">
        <w:rPr>
          <w:rFonts w:ascii="Times New Roman" w:hAnsi="Times New Roman" w:cs="Times New Roman"/>
          <w:sz w:val="24"/>
          <w:szCs w:val="24"/>
        </w:rPr>
        <w:t xml:space="preserve"> 1</w:t>
      </w:r>
      <w:r>
        <w:rPr>
          <w:rFonts w:ascii="Times New Roman" w:hAnsi="Times New Roman" w:cs="Times New Roman"/>
          <w:sz w:val="24"/>
          <w:szCs w:val="24"/>
        </w:rPr>
        <w:t>-3 к</w:t>
      </w:r>
      <w:r w:rsidRPr="0015769B">
        <w:rPr>
          <w:rFonts w:ascii="Times New Roman" w:hAnsi="Times New Roman" w:cs="Times New Roman"/>
          <w:sz w:val="24"/>
          <w:szCs w:val="24"/>
        </w:rPr>
        <w:t xml:space="preserve"> законопроекту «Об исполнении областного бюджета за 2017 год».</w:t>
      </w:r>
    </w:p>
    <w:p w:rsidR="009C45F8" w:rsidRPr="00264BF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исполнения областного бюджета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по доходам представлен в</w:t>
      </w:r>
      <w:r w:rsidRPr="001A299F">
        <w:rPr>
          <w:rFonts w:ascii="Times New Roman" w:eastAsia="Times New Roman" w:hAnsi="Times New Roman" w:cs="Times New Roman"/>
          <w:sz w:val="24"/>
          <w:szCs w:val="24"/>
          <w:lang w:eastAsia="ru-RU"/>
        </w:rPr>
        <w:br/>
      </w:r>
      <w:r w:rsidRPr="00264BFF">
        <w:rPr>
          <w:rFonts w:ascii="Times New Roman" w:eastAsia="Times New Roman" w:hAnsi="Times New Roman" w:cs="Times New Roman"/>
          <w:sz w:val="24"/>
          <w:szCs w:val="24"/>
          <w:lang w:eastAsia="ru-RU"/>
        </w:rPr>
        <w:t>таблице 1.</w:t>
      </w:r>
    </w:p>
    <w:p w:rsidR="009C45F8" w:rsidRPr="00264BFF" w:rsidRDefault="009C45F8" w:rsidP="009C45F8">
      <w:pPr>
        <w:widowControl w:val="0"/>
        <w:spacing w:after="0" w:line="240" w:lineRule="auto"/>
        <w:ind w:firstLine="709"/>
        <w:jc w:val="right"/>
        <w:rPr>
          <w:rFonts w:ascii="Times New Roman" w:eastAsia="Times New Roman" w:hAnsi="Times New Roman" w:cs="Times New Roman"/>
          <w:sz w:val="24"/>
          <w:szCs w:val="24"/>
          <w:lang w:eastAsia="ru-RU"/>
        </w:rPr>
      </w:pPr>
      <w:r w:rsidRPr="00264BFF">
        <w:rPr>
          <w:rFonts w:ascii="Times New Roman" w:eastAsia="Times New Roman" w:hAnsi="Times New Roman" w:cs="Times New Roman"/>
          <w:sz w:val="24"/>
          <w:szCs w:val="24"/>
          <w:lang w:eastAsia="ru-RU"/>
        </w:rPr>
        <w:t>Таблица 1</w:t>
      </w:r>
    </w:p>
    <w:p w:rsidR="009C45F8" w:rsidRPr="001A299F" w:rsidRDefault="009C45F8" w:rsidP="009C45F8">
      <w:pPr>
        <w:widowControl w:val="0"/>
        <w:spacing w:after="0" w:line="240" w:lineRule="auto"/>
        <w:ind w:firstLine="709"/>
        <w:jc w:val="center"/>
        <w:rPr>
          <w:rFonts w:ascii="Times New Roman" w:eastAsia="Times New Roman" w:hAnsi="Times New Roman" w:cs="Times New Roman"/>
          <w:b/>
          <w:bCs/>
          <w:sz w:val="24"/>
          <w:szCs w:val="24"/>
          <w:lang w:eastAsia="ru-RU"/>
        </w:rPr>
      </w:pPr>
      <w:r w:rsidRPr="001A299F">
        <w:rPr>
          <w:rFonts w:ascii="Times New Roman" w:eastAsia="Times New Roman" w:hAnsi="Times New Roman" w:cs="Times New Roman"/>
          <w:b/>
          <w:bCs/>
          <w:sz w:val="24"/>
          <w:szCs w:val="24"/>
          <w:lang w:eastAsia="ru-RU"/>
        </w:rPr>
        <w:t>Исполнение областного бюджета по доходам в 201</w:t>
      </w:r>
      <w:r>
        <w:rPr>
          <w:rFonts w:ascii="Times New Roman" w:eastAsia="Times New Roman" w:hAnsi="Times New Roman" w:cs="Times New Roman"/>
          <w:b/>
          <w:bCs/>
          <w:sz w:val="24"/>
          <w:szCs w:val="24"/>
          <w:lang w:eastAsia="ru-RU"/>
        </w:rPr>
        <w:t>7</w:t>
      </w:r>
      <w:r w:rsidRPr="001A299F">
        <w:rPr>
          <w:rFonts w:ascii="Times New Roman" w:eastAsia="Times New Roman" w:hAnsi="Times New Roman" w:cs="Times New Roman"/>
          <w:b/>
          <w:bCs/>
          <w:sz w:val="24"/>
          <w:szCs w:val="24"/>
          <w:lang w:eastAsia="ru-RU"/>
        </w:rPr>
        <w:t xml:space="preserve"> году</w:t>
      </w:r>
    </w:p>
    <w:p w:rsidR="009C45F8" w:rsidRPr="001A299F" w:rsidRDefault="009C45F8" w:rsidP="009C45F8">
      <w:pPr>
        <w:widowControl w:val="0"/>
        <w:spacing w:before="120" w:after="0" w:line="240" w:lineRule="auto"/>
        <w:ind w:firstLine="709"/>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8"/>
        <w:gridCol w:w="1177"/>
        <w:gridCol w:w="1285"/>
        <w:gridCol w:w="1159"/>
        <w:gridCol w:w="1436"/>
        <w:gridCol w:w="1177"/>
      </w:tblGrid>
      <w:tr w:rsidR="009C45F8" w:rsidRPr="001A299F" w:rsidTr="009C45F8">
        <w:trPr>
          <w:trHeight w:val="315"/>
          <w:tblHeader/>
        </w:trPr>
        <w:tc>
          <w:tcPr>
            <w:tcW w:w="3558" w:type="dxa"/>
            <w:shd w:val="clear" w:color="auto" w:fill="auto"/>
            <w:tcMar>
              <w:top w:w="15" w:type="dxa"/>
              <w:left w:w="15" w:type="dxa"/>
              <w:bottom w:w="0" w:type="dxa"/>
              <w:right w:w="15" w:type="dxa"/>
            </w:tcMar>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Наименование показателя</w:t>
            </w:r>
          </w:p>
        </w:tc>
        <w:tc>
          <w:tcPr>
            <w:tcW w:w="1177" w:type="dxa"/>
            <w:shd w:val="clear" w:color="auto" w:fill="auto"/>
            <w:tcMar>
              <w:top w:w="15" w:type="dxa"/>
              <w:left w:w="15" w:type="dxa"/>
              <w:bottom w:w="0" w:type="dxa"/>
              <w:right w:w="15" w:type="dxa"/>
            </w:tcMar>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Исполнено за 201</w:t>
            </w:r>
            <w:r>
              <w:rPr>
                <w:rFonts w:ascii="Times New Roman" w:eastAsia="Arial Unicode MS" w:hAnsi="Times New Roman" w:cs="Times New Roman"/>
                <w:b/>
                <w:bCs/>
                <w:color w:val="000000"/>
                <w:lang w:eastAsia="ru-RU"/>
              </w:rPr>
              <w:t>6</w:t>
            </w:r>
            <w:r w:rsidRPr="001A299F">
              <w:rPr>
                <w:rFonts w:ascii="Times New Roman" w:eastAsia="Arial Unicode MS" w:hAnsi="Times New Roman" w:cs="Times New Roman"/>
                <w:b/>
                <w:bCs/>
                <w:color w:val="000000"/>
                <w:lang w:eastAsia="ru-RU"/>
              </w:rPr>
              <w:t xml:space="preserve"> год</w:t>
            </w:r>
          </w:p>
        </w:tc>
        <w:tc>
          <w:tcPr>
            <w:tcW w:w="1285" w:type="dxa"/>
            <w:shd w:val="clear" w:color="auto" w:fill="auto"/>
            <w:tcMar>
              <w:top w:w="15" w:type="dxa"/>
              <w:left w:w="15" w:type="dxa"/>
              <w:bottom w:w="0" w:type="dxa"/>
              <w:right w:w="15" w:type="dxa"/>
            </w:tcMar>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Уточненные плановые назначения на 201</w:t>
            </w:r>
            <w:r>
              <w:rPr>
                <w:rFonts w:ascii="Times New Roman" w:eastAsia="Arial Unicode MS" w:hAnsi="Times New Roman" w:cs="Times New Roman"/>
                <w:b/>
                <w:bCs/>
                <w:color w:val="000000"/>
                <w:lang w:eastAsia="ru-RU"/>
              </w:rPr>
              <w:t>7</w:t>
            </w:r>
            <w:r w:rsidRPr="001A299F">
              <w:rPr>
                <w:rFonts w:ascii="Times New Roman" w:eastAsia="Arial Unicode MS" w:hAnsi="Times New Roman" w:cs="Times New Roman"/>
                <w:b/>
                <w:bCs/>
                <w:color w:val="000000"/>
                <w:lang w:eastAsia="ru-RU"/>
              </w:rPr>
              <w:t xml:space="preserve"> год </w:t>
            </w:r>
          </w:p>
        </w:tc>
        <w:tc>
          <w:tcPr>
            <w:tcW w:w="1159" w:type="dxa"/>
            <w:shd w:val="clear" w:color="auto" w:fill="auto"/>
            <w:tcMar>
              <w:top w:w="15" w:type="dxa"/>
              <w:left w:w="15" w:type="dxa"/>
              <w:bottom w:w="0" w:type="dxa"/>
              <w:right w:w="15" w:type="dxa"/>
            </w:tcMar>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Исполнено за 201</w:t>
            </w:r>
            <w:r>
              <w:rPr>
                <w:rFonts w:ascii="Times New Roman" w:eastAsia="Arial Unicode MS" w:hAnsi="Times New Roman" w:cs="Times New Roman"/>
                <w:b/>
                <w:bCs/>
                <w:color w:val="000000"/>
                <w:lang w:eastAsia="ru-RU"/>
              </w:rPr>
              <w:t>7</w:t>
            </w:r>
            <w:r w:rsidRPr="001A299F">
              <w:rPr>
                <w:rFonts w:ascii="Times New Roman" w:eastAsia="Arial Unicode MS" w:hAnsi="Times New Roman" w:cs="Times New Roman"/>
                <w:b/>
                <w:bCs/>
                <w:color w:val="000000"/>
                <w:lang w:eastAsia="ru-RU"/>
              </w:rPr>
              <w:t xml:space="preserve"> год</w:t>
            </w:r>
          </w:p>
        </w:tc>
        <w:tc>
          <w:tcPr>
            <w:tcW w:w="1436" w:type="dxa"/>
            <w:shd w:val="clear" w:color="auto" w:fill="auto"/>
            <w:tcMar>
              <w:top w:w="15" w:type="dxa"/>
              <w:left w:w="15" w:type="dxa"/>
              <w:bottom w:w="0" w:type="dxa"/>
              <w:right w:w="15" w:type="dxa"/>
            </w:tcMar>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Уровень исполнения,</w:t>
            </w:r>
          </w:p>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w:t>
            </w:r>
          </w:p>
        </w:tc>
        <w:tc>
          <w:tcPr>
            <w:tcW w:w="1177" w:type="dxa"/>
            <w:shd w:val="clear" w:color="auto" w:fill="auto"/>
            <w:tcMar>
              <w:top w:w="15" w:type="dxa"/>
              <w:left w:w="15" w:type="dxa"/>
              <w:bottom w:w="0" w:type="dxa"/>
              <w:right w:w="15" w:type="dxa"/>
            </w:tcMar>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Удельный вес в общем объеме,</w:t>
            </w:r>
          </w:p>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lang w:eastAsia="ru-RU"/>
              </w:rPr>
            </w:pPr>
            <w:r w:rsidRPr="001A299F">
              <w:rPr>
                <w:rFonts w:ascii="Times New Roman" w:eastAsia="Arial Unicode MS" w:hAnsi="Times New Roman" w:cs="Times New Roman"/>
                <w:b/>
                <w:bCs/>
                <w:color w:val="000000"/>
                <w:lang w:eastAsia="ru-RU"/>
              </w:rPr>
              <w:t>%</w:t>
            </w:r>
          </w:p>
        </w:tc>
      </w:tr>
      <w:tr w:rsidR="009C45F8" w:rsidRPr="001A299F" w:rsidTr="009C45F8">
        <w:trPr>
          <w:trHeight w:val="166"/>
          <w:tblHeader/>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1</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2</w:t>
            </w:r>
          </w:p>
        </w:tc>
        <w:tc>
          <w:tcPr>
            <w:tcW w:w="1285"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3</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4</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5</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color w:val="000000"/>
                <w:sz w:val="18"/>
                <w:szCs w:val="18"/>
                <w:lang w:eastAsia="ru-RU"/>
              </w:rPr>
            </w:pPr>
            <w:r w:rsidRPr="001A299F">
              <w:rPr>
                <w:rFonts w:ascii="Times New Roman" w:eastAsia="Arial Unicode MS" w:hAnsi="Times New Roman" w:cs="Times New Roman"/>
                <w:b/>
                <w:bCs/>
                <w:color w:val="000000"/>
                <w:sz w:val="18"/>
                <w:szCs w:val="18"/>
                <w:lang w:eastAsia="ru-RU"/>
              </w:rPr>
              <w:t>6</w:t>
            </w:r>
          </w:p>
        </w:tc>
      </w:tr>
      <w:tr w:rsidR="009C45F8" w:rsidRPr="001A299F" w:rsidTr="009C45F8">
        <w:trPr>
          <w:trHeight w:val="31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Arial Unicode MS" w:hAnsi="Times New Roman" w:cs="Times New Roman"/>
                <w:b/>
                <w:bCs/>
                <w:color w:val="000000"/>
                <w:sz w:val="20"/>
                <w:szCs w:val="20"/>
                <w:lang w:eastAsia="ru-RU"/>
              </w:rPr>
              <w:t xml:space="preserve">Налоговые и неналоговые доходы </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35267682,0</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37992863,1</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38174313,3</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left="81" w:right="405"/>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100,5</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77,8</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 xml:space="preserve">Налоги на прибыль, доходы </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20491053,7</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22779789,7</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22475022,2</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left="-339"/>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98,7</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45,8</w:t>
            </w:r>
          </w:p>
        </w:tc>
      </w:tr>
      <w:tr w:rsidR="009C45F8" w:rsidRPr="001A299F" w:rsidTr="009C45F8">
        <w:trPr>
          <w:trHeight w:val="27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прибыль организаций</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9970869,2</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10764694,9</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10540833,6</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left="21" w:right="305"/>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97,9</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21,5</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доходы физических лиц</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10520184,5</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12015094,8</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11934188,6</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right="305"/>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99,3</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24,3</w:t>
            </w:r>
          </w:p>
        </w:tc>
      </w:tr>
      <w:tr w:rsidR="009C45F8" w:rsidRPr="001A299F" w:rsidTr="009C45F8">
        <w:trPr>
          <w:trHeight w:val="76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2737978,3</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2192951,0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2224210,5</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right="305"/>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101,4</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4,5</w:t>
            </w:r>
          </w:p>
        </w:tc>
      </w:tr>
      <w:tr w:rsidR="009C45F8" w:rsidRPr="001A299F" w:rsidTr="009C45F8">
        <w:trPr>
          <w:trHeight w:val="606"/>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2737978,3</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2192951,0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2224210,5</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right="125"/>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101,4</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4,5</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совокупный доход</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1438653,8</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1700360,9</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1691049,0</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ind w:right="125"/>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99,5</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3,5</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A299F">
              <w:rPr>
                <w:rFonts w:ascii="Times New Roman" w:eastAsia="Times New Roman" w:hAnsi="Times New Roman" w:cs="Times New Roman"/>
                <w:bCs/>
                <w:color w:val="000000"/>
                <w:sz w:val="20"/>
                <w:szCs w:val="20"/>
                <w:lang w:eastAsia="ru-RU"/>
              </w:rPr>
              <w:t>Налог, взимаемый в связи с применением упрощенной системы налогообложения</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1438650,5</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hAnsi="Times New Roman" w:cs="Times New Roman"/>
                <w:bCs/>
              </w:rPr>
            </w:pPr>
            <w:r>
              <w:rPr>
                <w:rFonts w:ascii="Times New Roman" w:hAnsi="Times New Roman" w:cs="Times New Roman"/>
                <w:bCs/>
              </w:rPr>
              <w:t>1700360,9</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1691049,0</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99,5</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1A299F">
              <w:rPr>
                <w:rFonts w:ascii="Times New Roman" w:eastAsia="Times New Roman" w:hAnsi="Times New Roman" w:cs="Times New Roman"/>
                <w:bCs/>
                <w:color w:val="000000"/>
                <w:sz w:val="20"/>
                <w:szCs w:val="20"/>
                <w:lang w:eastAsia="ru-RU"/>
              </w:rPr>
              <w:t>Единый сельскохозяйственный налог</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3,3</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Cs/>
              </w:rPr>
            </w:pPr>
            <w:r>
              <w:rPr>
                <w:rFonts w:ascii="Times New Roman" w:eastAsia="Arial Unicode MS" w:hAnsi="Times New Roman" w:cs="Times New Roman"/>
                <w:bCs/>
              </w:rPr>
              <w:t>-</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Cs/>
                <w:lang w:eastAsia="ru-RU"/>
              </w:rPr>
            </w:pPr>
            <w:r>
              <w:rPr>
                <w:rFonts w:ascii="Times New Roman" w:eastAsia="Arial Unicode MS" w:hAnsi="Times New Roman" w:cs="Times New Roman"/>
                <w:bCs/>
                <w:lang w:eastAsia="ru-RU"/>
              </w:rPr>
              <w:t>-</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Налоги на имущество</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7439265,7</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8638300,5</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8389308,5</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97,1</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17,1</w:t>
            </w:r>
          </w:p>
        </w:tc>
      </w:tr>
      <w:tr w:rsidR="009C45F8" w:rsidRPr="001A299F" w:rsidTr="009C45F8">
        <w:trPr>
          <w:trHeight w:val="18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имущество организаций</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6585604,6</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7762847,0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7431760,8</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95,7</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15,1</w:t>
            </w:r>
          </w:p>
        </w:tc>
      </w:tr>
      <w:tr w:rsidR="009C45F8" w:rsidRPr="001A299F" w:rsidTr="009C45F8">
        <w:trPr>
          <w:trHeight w:val="278"/>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1A299F">
              <w:rPr>
                <w:rFonts w:ascii="Times New Roman" w:eastAsia="Times New Roman" w:hAnsi="Times New Roman" w:cs="Times New Roman"/>
                <w:color w:val="000000"/>
                <w:sz w:val="20"/>
                <w:szCs w:val="20"/>
                <w:lang w:eastAsia="ru-RU"/>
              </w:rPr>
              <w:t>Транспортный налог</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853143,1</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875107,0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957134,7</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109,4</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2,0</w:t>
            </w:r>
          </w:p>
        </w:tc>
      </w:tr>
      <w:tr w:rsidR="009C45F8" w:rsidRPr="001A299F" w:rsidTr="009C45F8">
        <w:trPr>
          <w:trHeight w:val="16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игорный бизнес</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518,0</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346,5</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413,0</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119,2</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w:t>
            </w:r>
          </w:p>
        </w:tc>
      </w:tr>
      <w:tr w:rsidR="009C45F8" w:rsidRPr="001A299F" w:rsidTr="009C45F8">
        <w:trPr>
          <w:trHeight w:val="164"/>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Arial Unicode MS" w:hAnsi="Times New Roman" w:cs="Times New Roman"/>
                <w:b/>
                <w:bCs/>
                <w:color w:val="000000"/>
                <w:sz w:val="20"/>
                <w:szCs w:val="20"/>
                <w:lang w:eastAsia="ru-RU"/>
              </w:rPr>
              <w:t>Налоги, сборы и регулярные платежи за пользование природными ресурсами</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1830997,5</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1160036,0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1594335,6</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137,4</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3,2</w:t>
            </w:r>
          </w:p>
        </w:tc>
      </w:tr>
      <w:tr w:rsidR="009C45F8" w:rsidRPr="001A299F" w:rsidTr="009C45F8">
        <w:trPr>
          <w:trHeight w:val="321"/>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Налог на добычу полезных ископаемых</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C25C55">
              <w:rPr>
                <w:rFonts w:ascii="Times New Roman" w:eastAsia="Times New Roman" w:hAnsi="Times New Roman" w:cs="Times New Roman"/>
                <w:lang w:eastAsia="ru-RU"/>
              </w:rPr>
              <w:t>1823065,5</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hAnsi="Times New Roman" w:cs="Times New Roman"/>
              </w:rPr>
            </w:pPr>
            <w:r>
              <w:rPr>
                <w:rFonts w:ascii="Times New Roman" w:hAnsi="Times New Roman" w:cs="Times New Roman"/>
              </w:rPr>
              <w:t>1151908,0</w:t>
            </w:r>
          </w:p>
        </w:tc>
        <w:tc>
          <w:tcPr>
            <w:tcW w:w="1159" w:type="dxa"/>
            <w:shd w:val="clear" w:color="auto" w:fill="auto"/>
            <w:tcMar>
              <w:top w:w="15" w:type="dxa"/>
              <w:left w:w="15" w:type="dxa"/>
              <w:bottom w:w="0" w:type="dxa"/>
              <w:right w:w="15" w:type="dxa"/>
            </w:tcMar>
            <w:vAlign w:val="bottom"/>
          </w:tcPr>
          <w:p w:rsidR="009C45F8" w:rsidRPr="00F25DE4"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5DE4">
              <w:rPr>
                <w:rFonts w:ascii="Times New Roman" w:eastAsia="Times New Roman" w:hAnsi="Times New Roman" w:cs="Times New Roman"/>
                <w:lang w:eastAsia="ru-RU"/>
              </w:rPr>
              <w:t>1586090,</w:t>
            </w:r>
            <w:r>
              <w:rPr>
                <w:rFonts w:ascii="Times New Roman" w:eastAsia="Times New Roman" w:hAnsi="Times New Roman" w:cs="Times New Roman"/>
                <w:lang w:eastAsia="ru-RU"/>
              </w:rPr>
              <w:t>3</w:t>
            </w:r>
          </w:p>
        </w:tc>
        <w:tc>
          <w:tcPr>
            <w:tcW w:w="1436" w:type="dxa"/>
            <w:shd w:val="clear" w:color="auto" w:fill="auto"/>
            <w:tcMar>
              <w:top w:w="15" w:type="dxa"/>
              <w:left w:w="15" w:type="dxa"/>
              <w:bottom w:w="0" w:type="dxa"/>
              <w:right w:w="15" w:type="dxa"/>
            </w:tcMar>
            <w:vAlign w:val="bottom"/>
          </w:tcPr>
          <w:p w:rsidR="009C45F8" w:rsidRPr="00F25DE4"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137,7</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3,2</w:t>
            </w:r>
          </w:p>
        </w:tc>
      </w:tr>
      <w:tr w:rsidR="009C45F8" w:rsidRPr="001A299F" w:rsidTr="009C45F8">
        <w:trPr>
          <w:trHeight w:val="513"/>
        </w:trPr>
        <w:tc>
          <w:tcPr>
            <w:tcW w:w="3558" w:type="dxa"/>
            <w:tcBorders>
              <w:bottom w:val="single" w:sz="4" w:space="0" w:color="auto"/>
            </w:tcBorders>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1A299F">
              <w:rPr>
                <w:rFonts w:ascii="Times New Roman" w:eastAsia="Times New Roman" w:hAnsi="Times New Roman" w:cs="Times New Roman"/>
                <w:color w:val="000000"/>
                <w:sz w:val="20"/>
                <w:szCs w:val="20"/>
                <w:lang w:eastAsia="ru-RU"/>
              </w:rPr>
              <w:t>Сбор за пользование объектами животного мира и за пользование объектами водных биологических ресурсов</w:t>
            </w:r>
          </w:p>
        </w:tc>
        <w:tc>
          <w:tcPr>
            <w:tcW w:w="1177" w:type="dxa"/>
            <w:tcBorders>
              <w:bottom w:val="single" w:sz="4" w:space="0" w:color="auto"/>
            </w:tcBorders>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7932,0</w:t>
            </w:r>
          </w:p>
        </w:tc>
        <w:tc>
          <w:tcPr>
            <w:tcW w:w="1285" w:type="dxa"/>
            <w:tcBorders>
              <w:bottom w:val="single" w:sz="4" w:space="0" w:color="auto"/>
            </w:tcBorders>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8128,0</w:t>
            </w:r>
          </w:p>
        </w:tc>
        <w:tc>
          <w:tcPr>
            <w:tcW w:w="1159" w:type="dxa"/>
            <w:tcBorders>
              <w:bottom w:val="single" w:sz="4" w:space="0" w:color="auto"/>
            </w:tcBorders>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8245,3</w:t>
            </w:r>
          </w:p>
        </w:tc>
        <w:tc>
          <w:tcPr>
            <w:tcW w:w="1436" w:type="dxa"/>
            <w:tcBorders>
              <w:bottom w:val="single" w:sz="4" w:space="0" w:color="auto"/>
            </w:tcBorders>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101,4</w:t>
            </w:r>
          </w:p>
        </w:tc>
        <w:tc>
          <w:tcPr>
            <w:tcW w:w="1177" w:type="dxa"/>
            <w:tcBorders>
              <w:bottom w:val="single" w:sz="4" w:space="0" w:color="auto"/>
            </w:tcBorders>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w:t>
            </w:r>
          </w:p>
        </w:tc>
      </w:tr>
      <w:tr w:rsidR="009C45F8" w:rsidRPr="001A299F" w:rsidTr="009C45F8">
        <w:trPr>
          <w:trHeight w:val="200"/>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Государственная пошлина</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137829,1</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132361,2</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150758,3</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113,9</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0,3</w:t>
            </w:r>
          </w:p>
        </w:tc>
      </w:tr>
      <w:tr w:rsidR="009C45F8" w:rsidRPr="001A299F" w:rsidTr="009C45F8">
        <w:trPr>
          <w:trHeight w:val="510"/>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Задолженность и перерасчеты по отмененным налогам, сборам и иным обязательным платежам</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19,5</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4,0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5,4</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132,5</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w:t>
            </w:r>
          </w:p>
        </w:tc>
      </w:tr>
      <w:tr w:rsidR="009C45F8" w:rsidRPr="001A299F" w:rsidTr="009C45F8">
        <w:trPr>
          <w:trHeight w:val="315"/>
        </w:trPr>
        <w:tc>
          <w:tcPr>
            <w:tcW w:w="3558" w:type="dxa"/>
            <w:shd w:val="clear" w:color="auto" w:fill="auto"/>
            <w:tcMar>
              <w:top w:w="15" w:type="dxa"/>
              <w:left w:w="15" w:type="dxa"/>
              <w:bottom w:w="0" w:type="dxa"/>
              <w:right w:w="15" w:type="dxa"/>
            </w:tcMar>
            <w:vAlign w:val="bottom"/>
          </w:tcPr>
          <w:p w:rsidR="009C45F8" w:rsidRPr="001A299F" w:rsidRDefault="009C45F8" w:rsidP="009C45F8">
            <w:pPr>
              <w:tabs>
                <w:tab w:val="left" w:pos="708"/>
                <w:tab w:val="center" w:pos="4677"/>
                <w:tab w:val="right" w:pos="9355"/>
              </w:tabs>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117502,9</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92768,0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102745,9</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110,8</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0,2</w:t>
            </w:r>
          </w:p>
        </w:tc>
      </w:tr>
      <w:tr w:rsidR="009C45F8" w:rsidRPr="001A299F" w:rsidTr="009C45F8">
        <w:trPr>
          <w:trHeight w:val="510"/>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Платежи при пользовании природными ресурсами</w:t>
            </w:r>
          </w:p>
        </w:tc>
        <w:tc>
          <w:tcPr>
            <w:tcW w:w="1177" w:type="dxa"/>
            <w:shd w:val="clear" w:color="auto" w:fill="auto"/>
            <w:tcMar>
              <w:top w:w="15" w:type="dxa"/>
              <w:left w:w="15" w:type="dxa"/>
              <w:bottom w:w="0" w:type="dxa"/>
              <w:right w:w="15" w:type="dxa"/>
            </w:tcMar>
            <w:vAlign w:val="bottom"/>
          </w:tcPr>
          <w:p w:rsidR="009C45F8" w:rsidRPr="005B68DB"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5B68DB">
              <w:rPr>
                <w:rFonts w:ascii="Times New Roman" w:eastAsia="Arial Unicode MS" w:hAnsi="Times New Roman" w:cs="Times New Roman"/>
                <w:b/>
                <w:lang w:eastAsia="ru-RU"/>
              </w:rPr>
              <w:t>213785,0</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212688,4</w:t>
            </w:r>
          </w:p>
        </w:tc>
        <w:tc>
          <w:tcPr>
            <w:tcW w:w="1159" w:type="dxa"/>
            <w:shd w:val="clear" w:color="auto" w:fill="auto"/>
            <w:tcMar>
              <w:top w:w="15" w:type="dxa"/>
              <w:left w:w="15" w:type="dxa"/>
              <w:bottom w:w="0" w:type="dxa"/>
              <w:right w:w="15" w:type="dxa"/>
            </w:tcMar>
            <w:vAlign w:val="bottom"/>
          </w:tcPr>
          <w:p w:rsidR="009C45F8" w:rsidRPr="005B68DB"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230616,0</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108,4</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0,5</w:t>
            </w:r>
          </w:p>
        </w:tc>
      </w:tr>
      <w:tr w:rsidR="009C45F8" w:rsidRPr="001A299F" w:rsidTr="009C45F8">
        <w:trPr>
          <w:trHeight w:val="510"/>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Доходы от оказания платных услуг (работ) и компенсации затрат государства</w:t>
            </w:r>
          </w:p>
        </w:tc>
        <w:tc>
          <w:tcPr>
            <w:tcW w:w="1177" w:type="dxa"/>
            <w:shd w:val="clear" w:color="auto" w:fill="auto"/>
            <w:tcMar>
              <w:top w:w="15" w:type="dxa"/>
              <w:left w:w="15" w:type="dxa"/>
              <w:bottom w:w="0" w:type="dxa"/>
              <w:right w:w="15" w:type="dxa"/>
            </w:tcMar>
            <w:vAlign w:val="bottom"/>
          </w:tcPr>
          <w:p w:rsidR="009C45F8" w:rsidRPr="005B68DB"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sidRPr="005B68DB">
              <w:rPr>
                <w:rFonts w:ascii="Times New Roman" w:eastAsia="Arial Unicode MS" w:hAnsi="Times New Roman" w:cs="Times New Roman"/>
                <w:b/>
                <w:lang w:eastAsia="ru-RU"/>
              </w:rPr>
              <w:t>556580,3</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694522,4</w:t>
            </w:r>
          </w:p>
        </w:tc>
        <w:tc>
          <w:tcPr>
            <w:tcW w:w="1159" w:type="dxa"/>
            <w:shd w:val="clear" w:color="auto" w:fill="auto"/>
            <w:tcMar>
              <w:top w:w="15" w:type="dxa"/>
              <w:left w:w="15" w:type="dxa"/>
              <w:bottom w:w="0" w:type="dxa"/>
              <w:right w:w="15" w:type="dxa"/>
            </w:tcMar>
            <w:vAlign w:val="bottom"/>
          </w:tcPr>
          <w:p w:rsidR="009C45F8" w:rsidRPr="005B68DB"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703043,5</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101,2</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1,4</w:t>
            </w:r>
          </w:p>
        </w:tc>
      </w:tr>
      <w:tr w:rsidR="009C45F8" w:rsidRPr="001A299F" w:rsidTr="009C45F8">
        <w:trPr>
          <w:trHeight w:val="510"/>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lastRenderedPageBreak/>
              <w:t>Доходы от продажи материальных и нематериальных активов</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25497,8</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125079,5</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125873,4</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100,6</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0,3</w:t>
            </w:r>
          </w:p>
        </w:tc>
      </w:tr>
      <w:tr w:rsidR="009C45F8" w:rsidRPr="001A299F" w:rsidTr="009C45F8">
        <w:trPr>
          <w:trHeight w:val="243"/>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color w:val="000000"/>
                <w:sz w:val="20"/>
                <w:szCs w:val="20"/>
                <w:lang w:eastAsia="ru-RU"/>
              </w:rPr>
            </w:pPr>
            <w:r w:rsidRPr="001A299F">
              <w:rPr>
                <w:rFonts w:ascii="Times New Roman" w:eastAsia="Times New Roman" w:hAnsi="Times New Roman" w:cs="Times New Roman"/>
                <w:b/>
                <w:color w:val="000000"/>
                <w:sz w:val="20"/>
                <w:szCs w:val="20"/>
                <w:lang w:eastAsia="ru-RU"/>
              </w:rPr>
              <w:t>Административные платежи и сборы</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4199,3</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b/>
              </w:rPr>
              <w:t>3550,8</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4076,4</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114,8</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w:t>
            </w:r>
          </w:p>
        </w:tc>
      </w:tr>
      <w:tr w:rsidR="009C45F8" w:rsidRPr="001A299F" w:rsidTr="009C45F8">
        <w:trPr>
          <w:trHeight w:val="63"/>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Штрафы, санкции, возмещение ущерба</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267783,3</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258874,9</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481423,9</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186,0</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w:t>
            </w:r>
          </w:p>
        </w:tc>
      </w:tr>
      <w:tr w:rsidR="009C45F8" w:rsidRPr="001A299F" w:rsidTr="009C45F8">
        <w:trPr>
          <w:trHeight w:val="63"/>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Прочие неналоговые доходы</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6535,8</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1575,8</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1844,7</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117,1</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w:t>
            </w:r>
          </w:p>
        </w:tc>
      </w:tr>
      <w:tr w:rsidR="009C45F8" w:rsidRPr="001A299F" w:rsidTr="009C45F8">
        <w:trPr>
          <w:trHeight w:val="350"/>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1A299F">
              <w:rPr>
                <w:rFonts w:ascii="Times New Roman" w:eastAsia="Times New Roman" w:hAnsi="Times New Roman" w:cs="Times New Roman"/>
                <w:b/>
                <w:bCs/>
                <w:color w:val="000000"/>
                <w:sz w:val="20"/>
                <w:szCs w:val="20"/>
                <w:lang w:eastAsia="ru-RU"/>
              </w:rPr>
              <w:t>Безвозмездные поступления</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13266454,9</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10009001,0</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10888637,5</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108,8</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22,2</w:t>
            </w:r>
          </w:p>
        </w:tc>
      </w:tr>
      <w:tr w:rsidR="009C45F8" w:rsidRPr="001A299F" w:rsidTr="009C45F8">
        <w:trPr>
          <w:trHeight w:val="255"/>
        </w:trPr>
        <w:tc>
          <w:tcPr>
            <w:tcW w:w="3558"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rPr>
                <w:rFonts w:ascii="Times New Roman" w:eastAsia="Arial Unicode MS" w:hAnsi="Times New Roman" w:cs="Times New Roman"/>
                <w:b/>
                <w:bCs/>
                <w:color w:val="000000"/>
                <w:lang w:eastAsia="ru-RU"/>
              </w:rPr>
            </w:pPr>
            <w:r w:rsidRPr="001A299F">
              <w:rPr>
                <w:rFonts w:ascii="Times New Roman" w:eastAsia="Times New Roman" w:hAnsi="Times New Roman" w:cs="Times New Roman"/>
                <w:b/>
                <w:bCs/>
                <w:color w:val="000000"/>
                <w:lang w:eastAsia="ru-RU"/>
              </w:rPr>
              <w:t>ИТОГО ДОХОДОВ</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48534136,9</w:t>
            </w:r>
          </w:p>
        </w:tc>
        <w:tc>
          <w:tcPr>
            <w:tcW w:w="1285" w:type="dxa"/>
            <w:shd w:val="clear" w:color="auto" w:fill="auto"/>
            <w:tcMar>
              <w:top w:w="15" w:type="dxa"/>
              <w:left w:w="15" w:type="dxa"/>
              <w:bottom w:w="0" w:type="dxa"/>
              <w:right w:w="15" w:type="dxa"/>
            </w:tcMar>
            <w:vAlign w:val="bottom"/>
          </w:tcPr>
          <w:p w:rsidR="009C45F8" w:rsidRPr="001A299F" w:rsidRDefault="009C45F8" w:rsidP="009C45F8">
            <w:pPr>
              <w:spacing w:after="0" w:line="240" w:lineRule="auto"/>
              <w:jc w:val="center"/>
              <w:rPr>
                <w:rFonts w:ascii="Times New Roman" w:eastAsia="Arial Unicode MS" w:hAnsi="Times New Roman" w:cs="Times New Roman"/>
                <w:b/>
                <w:bCs/>
              </w:rPr>
            </w:pPr>
            <w:r>
              <w:rPr>
                <w:rFonts w:ascii="Times New Roman" w:eastAsia="Arial Unicode MS" w:hAnsi="Times New Roman" w:cs="Times New Roman"/>
                <w:b/>
                <w:bCs/>
              </w:rPr>
              <w:t>48001864,1</w:t>
            </w:r>
          </w:p>
        </w:tc>
        <w:tc>
          <w:tcPr>
            <w:tcW w:w="1159"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49062950,8</w:t>
            </w:r>
          </w:p>
        </w:tc>
        <w:tc>
          <w:tcPr>
            <w:tcW w:w="1436"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102,2</w:t>
            </w:r>
          </w:p>
        </w:tc>
        <w:tc>
          <w:tcPr>
            <w:tcW w:w="1177" w:type="dxa"/>
            <w:shd w:val="clear" w:color="auto" w:fill="auto"/>
            <w:tcMar>
              <w:top w:w="15" w:type="dxa"/>
              <w:left w:w="15" w:type="dxa"/>
              <w:bottom w:w="0" w:type="dxa"/>
              <w:right w:w="15" w:type="dxa"/>
            </w:tcMar>
            <w:vAlign w:val="bottom"/>
          </w:tcPr>
          <w:p w:rsidR="009C45F8" w:rsidRPr="001A299F" w:rsidRDefault="009C45F8" w:rsidP="009C45F8">
            <w:pPr>
              <w:widowControl w:val="0"/>
              <w:autoSpaceDE w:val="0"/>
              <w:autoSpaceDN w:val="0"/>
              <w:adjustRightInd w:val="0"/>
              <w:spacing w:after="0" w:line="240" w:lineRule="auto"/>
              <w:jc w:val="center"/>
              <w:rPr>
                <w:rFonts w:ascii="Times New Roman" w:eastAsia="Arial Unicode MS" w:hAnsi="Times New Roman" w:cs="Times New Roman"/>
                <w:b/>
                <w:bCs/>
                <w:lang w:eastAsia="ru-RU"/>
              </w:rPr>
            </w:pPr>
            <w:r>
              <w:rPr>
                <w:rFonts w:ascii="Times New Roman" w:eastAsia="Arial Unicode MS" w:hAnsi="Times New Roman" w:cs="Times New Roman"/>
                <w:b/>
                <w:bCs/>
                <w:lang w:eastAsia="ru-RU"/>
              </w:rPr>
              <w:t>100,0</w:t>
            </w:r>
          </w:p>
        </w:tc>
      </w:tr>
    </w:tbl>
    <w:p w:rsidR="009C45F8" w:rsidRDefault="009C45F8" w:rsidP="009C45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Удельный вес налоговых и неналоговых доходов областного бюджета в общем объеме поступивших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доходов, составляет 7</w:t>
      </w:r>
      <w:r>
        <w:rPr>
          <w:rFonts w:ascii="Times New Roman" w:hAnsi="Times New Roman" w:cs="Times New Roman"/>
          <w:sz w:val="24"/>
          <w:szCs w:val="24"/>
        </w:rPr>
        <w:t>7</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 в том числе наибольший удельный вес в общем объеме поступивших доходов составляет налог на доходы физических лиц – 2</w:t>
      </w:r>
      <w:r>
        <w:rPr>
          <w:rFonts w:ascii="Times New Roman" w:hAnsi="Times New Roman" w:cs="Times New Roman"/>
          <w:sz w:val="24"/>
          <w:szCs w:val="24"/>
        </w:rPr>
        <w:t>4</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 налог на прибыль организаций – </w:t>
      </w:r>
      <w:r>
        <w:rPr>
          <w:rFonts w:ascii="Times New Roman" w:hAnsi="Times New Roman" w:cs="Times New Roman"/>
          <w:sz w:val="24"/>
          <w:szCs w:val="24"/>
        </w:rPr>
        <w:t>21</w:t>
      </w:r>
      <w:r w:rsidRPr="001A299F">
        <w:rPr>
          <w:rFonts w:ascii="Times New Roman" w:hAnsi="Times New Roman" w:cs="Times New Roman"/>
          <w:sz w:val="24"/>
          <w:szCs w:val="24"/>
        </w:rPr>
        <w:t xml:space="preserve">,5 процента, налог на имущество организаций – </w:t>
      </w:r>
      <w:r>
        <w:rPr>
          <w:rFonts w:ascii="Times New Roman" w:hAnsi="Times New Roman" w:cs="Times New Roman"/>
          <w:sz w:val="24"/>
          <w:szCs w:val="24"/>
        </w:rPr>
        <w:t>15</w:t>
      </w:r>
      <w:r w:rsidRPr="001A299F">
        <w:rPr>
          <w:rFonts w:ascii="Times New Roman" w:hAnsi="Times New Roman" w:cs="Times New Roman"/>
          <w:sz w:val="24"/>
          <w:szCs w:val="24"/>
        </w:rPr>
        <w:t>,</w:t>
      </w:r>
      <w:r>
        <w:rPr>
          <w:rFonts w:ascii="Times New Roman" w:hAnsi="Times New Roman" w:cs="Times New Roman"/>
          <w:sz w:val="24"/>
          <w:szCs w:val="24"/>
        </w:rPr>
        <w:t>1</w:t>
      </w:r>
      <w:r w:rsidRPr="001A299F">
        <w:rPr>
          <w:rFonts w:ascii="Times New Roman" w:hAnsi="Times New Roman" w:cs="Times New Roman"/>
          <w:sz w:val="24"/>
          <w:szCs w:val="24"/>
        </w:rPr>
        <w:t xml:space="preserve"> процента, акцизы по подакцизным товарам (продукции), производимым на территории Российской Федерации – </w:t>
      </w:r>
      <w:r>
        <w:rPr>
          <w:rFonts w:ascii="Times New Roman" w:hAnsi="Times New Roman" w:cs="Times New Roman"/>
          <w:sz w:val="24"/>
          <w:szCs w:val="24"/>
        </w:rPr>
        <w:t>4,5</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 xml:space="preserve">, налог, взимаемый в связи с применением упрощенной системы налогообложения – 3,5 процента,   </w:t>
      </w:r>
      <w:r w:rsidRPr="001A299F">
        <w:rPr>
          <w:rFonts w:ascii="Times New Roman" w:hAnsi="Times New Roman" w:cs="Times New Roman"/>
          <w:sz w:val="24"/>
          <w:szCs w:val="24"/>
        </w:rPr>
        <w:t xml:space="preserve">налог на добычу полезных ископаемых – </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w:t>
      </w:r>
      <w:r w:rsidRPr="001A299F">
        <w:rPr>
          <w:rFonts w:ascii="Times New Roman" w:hAnsi="Times New Roman" w:cs="Times New Roman"/>
          <w:sz w:val="24"/>
          <w:szCs w:val="24"/>
        </w:rPr>
        <w:t xml:space="preserve"> Безвозмездные поступления в структуре доходов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составляют 2</w:t>
      </w:r>
      <w:r>
        <w:rPr>
          <w:rFonts w:ascii="Times New Roman" w:hAnsi="Times New Roman" w:cs="Times New Roman"/>
          <w:sz w:val="24"/>
          <w:szCs w:val="24"/>
        </w:rPr>
        <w:t>2</w:t>
      </w:r>
      <w:r w:rsidRPr="001A299F">
        <w:rPr>
          <w:rFonts w:ascii="Times New Roman" w:hAnsi="Times New Roman" w:cs="Times New Roman"/>
          <w:sz w:val="24"/>
          <w:szCs w:val="24"/>
        </w:rPr>
        <w:t>,</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w:t>
      </w:r>
    </w:p>
    <w:p w:rsidR="009C45F8" w:rsidRP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color w:val="000000"/>
          <w:sz w:val="24"/>
          <w:szCs w:val="24"/>
          <w:lang w:eastAsia="ru-RU"/>
        </w:rPr>
        <w:t xml:space="preserve">Структура поступлений доходов областного бюджета представлена </w:t>
      </w:r>
      <w:r w:rsidRPr="001A299F">
        <w:rPr>
          <w:rFonts w:ascii="Times New Roman" w:eastAsia="Times New Roman" w:hAnsi="Times New Roman" w:cs="Times New Roman"/>
          <w:sz w:val="24"/>
          <w:szCs w:val="24"/>
          <w:lang w:eastAsia="ru-RU"/>
        </w:rPr>
        <w:t xml:space="preserve">диаграммой </w:t>
      </w:r>
      <w:r w:rsidRPr="009C45F8">
        <w:rPr>
          <w:rFonts w:ascii="Times New Roman" w:eastAsia="Times New Roman" w:hAnsi="Times New Roman" w:cs="Times New Roman"/>
          <w:sz w:val="24"/>
          <w:szCs w:val="24"/>
          <w:lang w:eastAsia="ru-RU"/>
        </w:rPr>
        <w:t>на</w:t>
      </w:r>
      <w:r w:rsidRPr="00C2682C">
        <w:rPr>
          <w:rFonts w:ascii="Times New Roman" w:eastAsia="Times New Roman" w:hAnsi="Times New Roman" w:cs="Times New Roman"/>
          <w:color w:val="FF0000"/>
          <w:sz w:val="24"/>
          <w:szCs w:val="24"/>
          <w:lang w:eastAsia="ru-RU"/>
        </w:rPr>
        <w:t xml:space="preserve"> </w:t>
      </w:r>
      <w:r w:rsidRPr="009C45F8">
        <w:rPr>
          <w:rFonts w:ascii="Times New Roman" w:eastAsia="Times New Roman" w:hAnsi="Times New Roman" w:cs="Times New Roman"/>
          <w:sz w:val="24"/>
          <w:szCs w:val="24"/>
          <w:lang w:eastAsia="ru-RU"/>
        </w:rPr>
        <w:t>рисунке 17.</w:t>
      </w:r>
    </w:p>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noProof/>
          <w:sz w:val="24"/>
          <w:szCs w:val="24"/>
          <w:lang w:eastAsia="ru-RU"/>
        </w:rPr>
        <w:drawing>
          <wp:inline distT="0" distB="0" distL="0" distR="0" wp14:anchorId="031E377D" wp14:editId="394359B4">
            <wp:extent cx="5969479" cy="3459192"/>
            <wp:effectExtent l="0" t="0" r="0" b="8255"/>
            <wp:docPr id="18"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9C45F8">
        <w:rPr>
          <w:rFonts w:ascii="Times New Roman" w:eastAsia="Times New Roman" w:hAnsi="Times New Roman" w:cs="Times New Roman"/>
          <w:b/>
          <w:sz w:val="24"/>
          <w:szCs w:val="24"/>
          <w:lang w:eastAsia="ru-RU"/>
        </w:rPr>
        <w:t xml:space="preserve">Рис. 17 </w:t>
      </w:r>
      <w:r w:rsidRPr="00FE08FC">
        <w:rPr>
          <w:rFonts w:ascii="Times New Roman" w:eastAsia="Times New Roman" w:hAnsi="Times New Roman" w:cs="Times New Roman"/>
          <w:b/>
          <w:sz w:val="24"/>
          <w:szCs w:val="24"/>
          <w:lang w:eastAsia="ru-RU"/>
        </w:rPr>
        <w:t xml:space="preserve">– </w:t>
      </w:r>
      <w:r w:rsidRPr="001A299F">
        <w:rPr>
          <w:rFonts w:ascii="Times New Roman" w:eastAsia="Times New Roman" w:hAnsi="Times New Roman" w:cs="Times New Roman"/>
          <w:b/>
          <w:sz w:val="24"/>
          <w:szCs w:val="24"/>
          <w:lang w:eastAsia="ru-RU"/>
        </w:rPr>
        <w:t>Структура доходов областного бюджета, поступивших в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году, </w:t>
      </w:r>
      <w:r>
        <w:rPr>
          <w:rFonts w:ascii="Times New Roman" w:eastAsia="Times New Roman" w:hAnsi="Times New Roman" w:cs="Times New Roman"/>
          <w:b/>
          <w:sz w:val="24"/>
          <w:szCs w:val="24"/>
          <w:lang w:eastAsia="ru-RU"/>
        </w:rPr>
        <w:br/>
      </w:r>
      <w:r w:rsidRPr="001A299F">
        <w:rPr>
          <w:rFonts w:ascii="Times New Roman" w:eastAsia="Times New Roman" w:hAnsi="Times New Roman" w:cs="Times New Roman"/>
          <w:b/>
          <w:sz w:val="24"/>
          <w:szCs w:val="24"/>
          <w:lang w:eastAsia="ru-RU"/>
        </w:rPr>
        <w:t>в процентах</w:t>
      </w:r>
    </w:p>
    <w:p w:rsidR="009C45F8" w:rsidRDefault="009C45F8" w:rsidP="009C45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Pr="00E60982">
        <w:rPr>
          <w:rFonts w:ascii="Times New Roman" w:hAnsi="Times New Roman" w:cs="Times New Roman"/>
          <w:sz w:val="24"/>
          <w:szCs w:val="24"/>
        </w:rPr>
        <w:t xml:space="preserve"> 201</w:t>
      </w:r>
      <w:r>
        <w:rPr>
          <w:rFonts w:ascii="Times New Roman" w:hAnsi="Times New Roman" w:cs="Times New Roman"/>
          <w:sz w:val="24"/>
          <w:szCs w:val="24"/>
        </w:rPr>
        <w:t>7</w:t>
      </w:r>
      <w:r w:rsidRPr="00E60982">
        <w:rPr>
          <w:rFonts w:ascii="Times New Roman" w:hAnsi="Times New Roman" w:cs="Times New Roman"/>
          <w:sz w:val="24"/>
          <w:szCs w:val="24"/>
        </w:rPr>
        <w:t xml:space="preserve"> году </w:t>
      </w:r>
      <w:r>
        <w:rPr>
          <w:rFonts w:ascii="Times New Roman" w:hAnsi="Times New Roman" w:cs="Times New Roman"/>
          <w:sz w:val="24"/>
          <w:szCs w:val="24"/>
        </w:rPr>
        <w:t xml:space="preserve">в областной бюджет </w:t>
      </w:r>
      <w:r w:rsidRPr="00E60982">
        <w:rPr>
          <w:rFonts w:ascii="Times New Roman" w:hAnsi="Times New Roman" w:cs="Times New Roman"/>
          <w:sz w:val="24"/>
          <w:szCs w:val="24"/>
        </w:rPr>
        <w:t xml:space="preserve">поступило налоговых доходов на сумму </w:t>
      </w:r>
      <w:r>
        <w:rPr>
          <w:rFonts w:ascii="Times New Roman" w:hAnsi="Times New Roman" w:cs="Times New Roman"/>
          <w:sz w:val="24"/>
          <w:szCs w:val="24"/>
        </w:rPr>
        <w:br/>
        <w:t>36524689,5</w:t>
      </w:r>
      <w:r w:rsidRPr="00E60982">
        <w:rPr>
          <w:rFonts w:ascii="Times New Roman" w:hAnsi="Times New Roman" w:cs="Times New Roman"/>
          <w:sz w:val="24"/>
          <w:szCs w:val="24"/>
        </w:rPr>
        <w:t xml:space="preserve"> тыс. рублей, или </w:t>
      </w:r>
      <w:r>
        <w:rPr>
          <w:rFonts w:ascii="Times New Roman" w:hAnsi="Times New Roman" w:cs="Times New Roman"/>
          <w:sz w:val="24"/>
          <w:szCs w:val="24"/>
        </w:rPr>
        <w:t>99,8</w:t>
      </w:r>
      <w:r w:rsidRPr="00E60982">
        <w:rPr>
          <w:rFonts w:ascii="Times New Roman" w:hAnsi="Times New Roman" w:cs="Times New Roman"/>
          <w:sz w:val="24"/>
          <w:szCs w:val="24"/>
        </w:rPr>
        <w:t xml:space="preserve"> процента к объему запланированных назначений.</w:t>
      </w:r>
    </w:p>
    <w:p w:rsidR="009C45F8" w:rsidRDefault="009C45F8" w:rsidP="009C45F8">
      <w:pPr>
        <w:spacing w:after="0" w:line="240" w:lineRule="auto"/>
        <w:ind w:firstLine="720"/>
        <w:jc w:val="both"/>
        <w:rPr>
          <w:rFonts w:ascii="Times New Roman" w:hAnsi="Times New Roman" w:cs="Times New Roman"/>
          <w:sz w:val="24"/>
          <w:szCs w:val="24"/>
        </w:rPr>
      </w:pPr>
      <w:r w:rsidRPr="00EB76E8">
        <w:rPr>
          <w:rFonts w:ascii="Times New Roman" w:hAnsi="Times New Roman" w:cs="Times New Roman"/>
          <w:sz w:val="24"/>
          <w:szCs w:val="24"/>
        </w:rPr>
        <w:t xml:space="preserve">Недовыполнение плановых назначений 2017 года сложилось по налогу на прибыль организаций (уровень исполнения - 97,9 процента плановых назначений), налогу на доходы физических лиц (уровень исполнения – 99,3 процента плановых назначений), налогу, взимаемому в связи с упрощенной системой налогообложения (уровень исполнения – </w:t>
      </w:r>
      <w:r>
        <w:rPr>
          <w:rFonts w:ascii="Times New Roman" w:hAnsi="Times New Roman" w:cs="Times New Roman"/>
          <w:sz w:val="24"/>
          <w:szCs w:val="24"/>
        </w:rPr>
        <w:br/>
      </w:r>
      <w:r w:rsidRPr="00EB76E8">
        <w:rPr>
          <w:rFonts w:ascii="Times New Roman" w:hAnsi="Times New Roman" w:cs="Times New Roman"/>
          <w:sz w:val="24"/>
          <w:szCs w:val="24"/>
        </w:rPr>
        <w:lastRenderedPageBreak/>
        <w:t>99,5 процента плановых назначений), налогу на имущество организаций (уровень исполнения – 95,7 процента плановых назначений).</w:t>
      </w:r>
    </w:p>
    <w:p w:rsidR="009C45F8" w:rsidRPr="001A299F" w:rsidRDefault="009C45F8" w:rsidP="009C45F8">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Поступление налога на прибыль организаций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составило </w:t>
      </w:r>
      <w:r>
        <w:rPr>
          <w:rFonts w:ascii="Times New Roman" w:hAnsi="Times New Roman" w:cs="Times New Roman"/>
          <w:sz w:val="24"/>
          <w:szCs w:val="24"/>
        </w:rPr>
        <w:t>10540833,6</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97,9</w:t>
      </w:r>
      <w:r w:rsidRPr="001A299F">
        <w:rPr>
          <w:rFonts w:ascii="Times New Roman" w:hAnsi="Times New Roman" w:cs="Times New Roman"/>
          <w:sz w:val="24"/>
          <w:szCs w:val="24"/>
        </w:rPr>
        <w:t xml:space="preserve"> процента плановых назначений. </w:t>
      </w:r>
      <w:r w:rsidRPr="001A299F">
        <w:rPr>
          <w:rFonts w:ascii="Times New Roman" w:eastAsia="Times New Roman" w:hAnsi="Times New Roman" w:cs="Times New Roman"/>
          <w:sz w:val="24"/>
          <w:szCs w:val="24"/>
          <w:lang w:eastAsia="ru-RU"/>
        </w:rPr>
        <w:t xml:space="preserve">В доходах областного бюджета на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первоначально плановые назначения по налогу на прибыль организаций предусмотрены в сумме </w:t>
      </w:r>
      <w:r>
        <w:rPr>
          <w:rFonts w:ascii="Times New Roman" w:eastAsia="Times New Roman" w:hAnsi="Times New Roman" w:cs="Times New Roman"/>
          <w:sz w:val="24"/>
          <w:szCs w:val="24"/>
          <w:lang w:eastAsia="ru-RU"/>
        </w:rPr>
        <w:t>9325636,0</w:t>
      </w:r>
      <w:r w:rsidRPr="001A299F">
        <w:rPr>
          <w:rFonts w:ascii="Times New Roman" w:eastAsia="Times New Roman" w:hAnsi="Times New Roman" w:cs="Times New Roman"/>
          <w:sz w:val="24"/>
          <w:szCs w:val="24"/>
          <w:lang w:eastAsia="ru-RU"/>
        </w:rPr>
        <w:t xml:space="preserve"> тыс. рублей. Уточненные плановые назначения по налогу на прибыль организаций составляют </w:t>
      </w:r>
      <w:r>
        <w:rPr>
          <w:rFonts w:ascii="Times New Roman" w:eastAsia="Times New Roman" w:hAnsi="Times New Roman" w:cs="Times New Roman"/>
          <w:sz w:val="24"/>
          <w:szCs w:val="24"/>
          <w:lang w:eastAsia="ru-RU"/>
        </w:rPr>
        <w:t>10764694,9</w:t>
      </w:r>
      <w:r w:rsidRPr="001A299F">
        <w:rPr>
          <w:rFonts w:ascii="Times New Roman" w:eastAsia="Times New Roman" w:hAnsi="Times New Roman" w:cs="Times New Roman"/>
          <w:sz w:val="24"/>
          <w:szCs w:val="24"/>
          <w:lang w:eastAsia="ru-RU"/>
        </w:rPr>
        <w:t xml:space="preserve"> тыс. рублей, что на </w:t>
      </w:r>
      <w:r>
        <w:rPr>
          <w:rFonts w:ascii="Times New Roman" w:eastAsia="Times New Roman" w:hAnsi="Times New Roman" w:cs="Times New Roman"/>
          <w:sz w:val="24"/>
          <w:szCs w:val="24"/>
          <w:lang w:eastAsia="ru-RU"/>
        </w:rPr>
        <w:t>1439058,9</w:t>
      </w:r>
      <w:r w:rsidRPr="001A299F">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больше</w:t>
      </w:r>
      <w:r w:rsidRPr="001A299F">
        <w:rPr>
          <w:rFonts w:ascii="Times New Roman" w:eastAsia="Times New Roman" w:hAnsi="Times New Roman" w:cs="Times New Roman"/>
          <w:sz w:val="24"/>
          <w:szCs w:val="24"/>
          <w:lang w:eastAsia="ru-RU"/>
        </w:rPr>
        <w:t xml:space="preserve"> перв</w:t>
      </w:r>
      <w:r>
        <w:rPr>
          <w:rFonts w:ascii="Times New Roman" w:eastAsia="Times New Roman" w:hAnsi="Times New Roman" w:cs="Times New Roman"/>
          <w:sz w:val="24"/>
          <w:szCs w:val="24"/>
          <w:lang w:eastAsia="ru-RU"/>
        </w:rPr>
        <w:t>оначальных плановых назначений, или 15,4 процента.</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Увеличение объема поступлений по налогу на прибыль организаций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по сравнению с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годом составляет </w:t>
      </w:r>
      <w:r>
        <w:rPr>
          <w:rFonts w:ascii="Times New Roman" w:eastAsia="Times New Roman" w:hAnsi="Times New Roman" w:cs="Times New Roman"/>
          <w:sz w:val="24"/>
          <w:szCs w:val="24"/>
          <w:lang w:eastAsia="ru-RU"/>
        </w:rPr>
        <w:t xml:space="preserve">569964,4 </w:t>
      </w:r>
      <w:r w:rsidRPr="001A299F">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5,7</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9C45F8">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 xml:space="preserve">Налог на доходы физических лиц поступил в областной бюджет в объеме </w:t>
      </w:r>
      <w:r w:rsidRPr="001A299F">
        <w:rPr>
          <w:rFonts w:ascii="Times New Roman" w:hAnsi="Times New Roman" w:cs="Times New Roman"/>
          <w:sz w:val="24"/>
          <w:szCs w:val="24"/>
        </w:rPr>
        <w:br/>
      </w:r>
      <w:r>
        <w:rPr>
          <w:rFonts w:ascii="Times New Roman" w:hAnsi="Times New Roman" w:cs="Times New Roman"/>
          <w:sz w:val="24"/>
          <w:szCs w:val="24"/>
        </w:rPr>
        <w:t>11934188,6</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99,3 процента плановых назначений.</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сравнению с 2016 годом объем </w:t>
      </w:r>
      <w:r w:rsidRPr="001A299F">
        <w:rPr>
          <w:rFonts w:ascii="Times New Roman" w:eastAsia="Times New Roman" w:hAnsi="Times New Roman" w:cs="Times New Roman"/>
          <w:sz w:val="24"/>
          <w:szCs w:val="24"/>
          <w:lang w:eastAsia="ru-RU"/>
        </w:rPr>
        <w:t xml:space="preserve">поступлений </w:t>
      </w:r>
      <w:r>
        <w:rPr>
          <w:rFonts w:ascii="Times New Roman" w:eastAsia="Times New Roman" w:hAnsi="Times New Roman" w:cs="Times New Roman"/>
          <w:sz w:val="24"/>
          <w:szCs w:val="24"/>
          <w:lang w:eastAsia="ru-RU"/>
        </w:rPr>
        <w:t>налога на доходы физических лиц в 2017 году увеличился  на 1414004,1 тыс. рублей, или 13,4 процента.</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В течение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года в плановые назначения по налогу на доходы физических лиц вносились изменения. Уточненные плановые назначения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по налогу составляют </w:t>
      </w:r>
      <w:r>
        <w:rPr>
          <w:rFonts w:ascii="Times New Roman" w:eastAsia="Times New Roman" w:hAnsi="Times New Roman" w:cs="Times New Roman"/>
          <w:sz w:val="24"/>
          <w:szCs w:val="24"/>
          <w:lang w:eastAsia="ru-RU"/>
        </w:rPr>
        <w:t>12015094,8</w:t>
      </w:r>
      <w:r w:rsidRPr="001A299F">
        <w:rPr>
          <w:rFonts w:ascii="Times New Roman" w:eastAsia="Times New Roman" w:hAnsi="Times New Roman" w:cs="Times New Roman"/>
          <w:sz w:val="24"/>
          <w:szCs w:val="24"/>
          <w:lang w:eastAsia="ru-RU"/>
        </w:rPr>
        <w:t xml:space="preserve"> тыс. рублей, что </w:t>
      </w:r>
      <w:r>
        <w:rPr>
          <w:rFonts w:ascii="Times New Roman" w:eastAsia="Times New Roman" w:hAnsi="Times New Roman" w:cs="Times New Roman"/>
          <w:sz w:val="24"/>
          <w:szCs w:val="24"/>
          <w:lang w:eastAsia="ru-RU"/>
        </w:rPr>
        <w:t>больше</w:t>
      </w:r>
      <w:r w:rsidRPr="001A299F">
        <w:rPr>
          <w:rFonts w:ascii="Times New Roman" w:eastAsia="Times New Roman" w:hAnsi="Times New Roman" w:cs="Times New Roman"/>
          <w:sz w:val="24"/>
          <w:szCs w:val="24"/>
          <w:lang w:eastAsia="ru-RU"/>
        </w:rPr>
        <w:t xml:space="preserve"> первоначальных плановых назначений на </w:t>
      </w:r>
      <w:r>
        <w:rPr>
          <w:rFonts w:ascii="Times New Roman" w:eastAsia="Times New Roman" w:hAnsi="Times New Roman" w:cs="Times New Roman"/>
          <w:sz w:val="24"/>
          <w:szCs w:val="24"/>
          <w:lang w:eastAsia="ru-RU"/>
        </w:rPr>
        <w:t>1413644,0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13,3</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9C4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Поступление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акцизов по подакцизным товарам (продукции), производимым на территории Российской Федерации в областной бюджет составляет </w:t>
      </w:r>
      <w:r w:rsidRPr="001A299F">
        <w:rPr>
          <w:rFonts w:ascii="Times New Roman" w:hAnsi="Times New Roman" w:cs="Times New Roman"/>
          <w:sz w:val="24"/>
          <w:szCs w:val="24"/>
        </w:rPr>
        <w:br/>
      </w:r>
      <w:r>
        <w:rPr>
          <w:rFonts w:ascii="Times New Roman" w:hAnsi="Times New Roman" w:cs="Times New Roman"/>
          <w:sz w:val="24"/>
          <w:szCs w:val="24"/>
        </w:rPr>
        <w:t>2224210,5</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101,4 процента плановых назначений.</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Уточненные плановые показатели по данной группе налогов составляют </w:t>
      </w:r>
      <w:r>
        <w:rPr>
          <w:rFonts w:ascii="Times New Roman" w:eastAsia="Times New Roman" w:hAnsi="Times New Roman" w:cs="Times New Roman"/>
          <w:sz w:val="24"/>
          <w:szCs w:val="24"/>
          <w:lang w:eastAsia="ru-RU"/>
        </w:rPr>
        <w:br/>
        <w:t>2192951,0</w:t>
      </w:r>
      <w:r w:rsidRPr="001A299F">
        <w:rPr>
          <w:rFonts w:ascii="Times New Roman" w:eastAsia="Times New Roman" w:hAnsi="Times New Roman" w:cs="Times New Roman"/>
          <w:sz w:val="24"/>
          <w:szCs w:val="24"/>
          <w:lang w:eastAsia="ru-RU"/>
        </w:rPr>
        <w:t xml:space="preserve"> тыс. рублей, что </w:t>
      </w:r>
      <w:r>
        <w:rPr>
          <w:rFonts w:ascii="Times New Roman" w:eastAsia="Times New Roman" w:hAnsi="Times New Roman" w:cs="Times New Roman"/>
          <w:sz w:val="24"/>
          <w:szCs w:val="24"/>
          <w:lang w:eastAsia="ru-RU"/>
        </w:rPr>
        <w:t>меньше</w:t>
      </w:r>
      <w:r w:rsidRPr="001A299F">
        <w:rPr>
          <w:rFonts w:ascii="Times New Roman" w:eastAsia="Times New Roman" w:hAnsi="Times New Roman" w:cs="Times New Roman"/>
          <w:sz w:val="24"/>
          <w:szCs w:val="24"/>
          <w:lang w:eastAsia="ru-RU"/>
        </w:rPr>
        <w:t xml:space="preserve"> первоначальных плановых назначений на </w:t>
      </w:r>
      <w:r>
        <w:rPr>
          <w:rFonts w:ascii="Times New Roman" w:eastAsia="Times New Roman" w:hAnsi="Times New Roman" w:cs="Times New Roman"/>
          <w:sz w:val="24"/>
          <w:szCs w:val="24"/>
          <w:lang w:eastAsia="ru-RU"/>
        </w:rPr>
        <w:t>159875,0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,8 процента. По сравнению с предшествующим отчетным периодом наблюдается </w:t>
      </w:r>
      <w:r>
        <w:rPr>
          <w:rFonts w:ascii="Times New Roman" w:eastAsia="Times New Roman" w:hAnsi="Times New Roman" w:cs="Times New Roman"/>
          <w:sz w:val="24"/>
          <w:szCs w:val="24"/>
          <w:lang w:eastAsia="ru-RU"/>
        </w:rPr>
        <w:t xml:space="preserve">уменьшение объема </w:t>
      </w:r>
      <w:r w:rsidRPr="001A299F">
        <w:rPr>
          <w:rFonts w:ascii="Times New Roman" w:eastAsia="Times New Roman" w:hAnsi="Times New Roman" w:cs="Times New Roman"/>
          <w:sz w:val="24"/>
          <w:szCs w:val="24"/>
          <w:lang w:eastAsia="ru-RU"/>
        </w:rPr>
        <w:t xml:space="preserve">поступлений отчетного периода на </w:t>
      </w:r>
      <w:r>
        <w:rPr>
          <w:rFonts w:ascii="Times New Roman" w:eastAsia="Times New Roman" w:hAnsi="Times New Roman" w:cs="Times New Roman"/>
          <w:sz w:val="24"/>
          <w:szCs w:val="24"/>
          <w:lang w:eastAsia="ru-RU"/>
        </w:rPr>
        <w:t>513767,8</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18,8</w:t>
      </w:r>
      <w:r w:rsidRPr="001A299F">
        <w:rPr>
          <w:rFonts w:ascii="Times New Roman" w:eastAsia="Times New Roman" w:hAnsi="Times New Roman" w:cs="Times New Roman"/>
          <w:sz w:val="24"/>
          <w:szCs w:val="24"/>
          <w:lang w:eastAsia="ru-RU"/>
        </w:rPr>
        <w:t xml:space="preserve"> процента.</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Наибольший объем поступлений </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60,5</w:t>
      </w:r>
      <w:r w:rsidRPr="001A299F">
        <w:rPr>
          <w:rFonts w:ascii="Times New Roman" w:eastAsia="Times New Roman" w:hAnsi="Times New Roman" w:cs="Times New Roman"/>
          <w:sz w:val="24"/>
          <w:szCs w:val="24"/>
          <w:lang w:eastAsia="ru-RU"/>
        </w:rPr>
        <w:t xml:space="preserve"> процента в общем объеме поступлений по акцизам составляют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A299F">
        <w:rPr>
          <w:rFonts w:ascii="Times New Roman" w:eastAsia="Times New Roman" w:hAnsi="Times New Roman" w:cs="Times New Roman"/>
          <w:sz w:val="24"/>
          <w:szCs w:val="24"/>
          <w:lang w:eastAsia="ru-RU"/>
        </w:rPr>
        <w:br/>
        <w:t xml:space="preserve">бюджеты – </w:t>
      </w:r>
      <w:r>
        <w:rPr>
          <w:rFonts w:ascii="Times New Roman" w:eastAsia="Times New Roman" w:hAnsi="Times New Roman" w:cs="Times New Roman"/>
          <w:sz w:val="24"/>
          <w:szCs w:val="24"/>
          <w:lang w:eastAsia="ru-RU"/>
        </w:rPr>
        <w:t>1345733,0 тыс. рублей, или 91,1 процент плановых назначений.</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Удельный вес доходов от уплаты акцизов на дизельное топливо,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1A299F">
        <w:rPr>
          <w:rFonts w:ascii="Times New Roman" w:eastAsia="Times New Roman" w:hAnsi="Times New Roman" w:cs="Times New Roman"/>
          <w:sz w:val="24"/>
          <w:szCs w:val="24"/>
          <w:lang w:eastAsia="ru-RU"/>
        </w:rPr>
        <w:br/>
        <w:t xml:space="preserve">бюджеты в общем объеме поступлений по акцизам составляет </w:t>
      </w:r>
      <w:r>
        <w:rPr>
          <w:rFonts w:ascii="Times New Roman" w:eastAsia="Times New Roman" w:hAnsi="Times New Roman" w:cs="Times New Roman"/>
          <w:sz w:val="24"/>
          <w:szCs w:val="24"/>
          <w:lang w:eastAsia="ru-RU"/>
        </w:rPr>
        <w:t>37,4</w:t>
      </w:r>
      <w:r w:rsidRPr="001A299F">
        <w:rPr>
          <w:rFonts w:ascii="Times New Roman" w:eastAsia="Times New Roman" w:hAnsi="Times New Roman" w:cs="Times New Roman"/>
          <w:sz w:val="24"/>
          <w:szCs w:val="24"/>
          <w:lang w:eastAsia="ru-RU"/>
        </w:rPr>
        <w:t xml:space="preserve"> процента. Исполнение по указанному виду доходов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составляет </w:t>
      </w:r>
      <w:r>
        <w:rPr>
          <w:rFonts w:ascii="Times New Roman" w:eastAsia="Times New Roman" w:hAnsi="Times New Roman" w:cs="Times New Roman"/>
          <w:sz w:val="24"/>
          <w:szCs w:val="24"/>
          <w:lang w:eastAsia="ru-RU"/>
        </w:rPr>
        <w:t>832132,2</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119,3</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Pr="00911B7D"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в областной бюджет поступили доходы от уплаты акцизов на алкогольную продукцию с объемной долей этилового спирта свыше 9 процентов </w:t>
      </w:r>
      <w:r>
        <w:rPr>
          <w:rFonts w:ascii="Times New Roman" w:eastAsia="Times New Roman" w:hAnsi="Times New Roman" w:cs="Times New Roman"/>
          <w:sz w:val="24"/>
          <w:szCs w:val="24"/>
          <w:lang w:eastAsia="ru-RU"/>
        </w:rPr>
        <w:br/>
        <w:t xml:space="preserve">(за исключением пива, вин, фруктовых вин, игристых вин (шампанских), винных напитков, изготавливаемых без добавления ректификованного </w:t>
      </w:r>
      <w:r w:rsidRPr="00911B7D">
        <w:rPr>
          <w:rFonts w:ascii="Times New Roman" w:eastAsia="Times New Roman" w:hAnsi="Times New Roman" w:cs="Times New Roman"/>
          <w:sz w:val="24"/>
          <w:szCs w:val="24"/>
          <w:lang w:eastAsia="ru-RU"/>
        </w:rPr>
        <w:t xml:space="preserve">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w:t>
      </w:r>
      <w:r>
        <w:rPr>
          <w:rFonts w:ascii="Times New Roman" w:eastAsia="Times New Roman" w:hAnsi="Times New Roman" w:cs="Times New Roman"/>
          <w:sz w:val="24"/>
          <w:szCs w:val="24"/>
          <w:lang w:eastAsia="ru-RU"/>
        </w:rPr>
        <w:t xml:space="preserve">в объеме 188327,3 тыс. рублей, или </w:t>
      </w:r>
      <w:r>
        <w:rPr>
          <w:rFonts w:ascii="Times New Roman" w:eastAsia="Times New Roman" w:hAnsi="Times New Roman" w:cs="Times New Roman"/>
          <w:sz w:val="24"/>
          <w:szCs w:val="24"/>
          <w:lang w:eastAsia="ru-RU"/>
        </w:rPr>
        <w:br/>
        <w:t>134,5</w:t>
      </w:r>
      <w:r w:rsidR="00AA6522">
        <w:rPr>
          <w:rFonts w:ascii="Times New Roman" w:eastAsia="Times New Roman" w:hAnsi="Times New Roman" w:cs="Times New Roman"/>
          <w:sz w:val="24"/>
          <w:szCs w:val="24"/>
          <w:lang w:eastAsia="ru-RU"/>
        </w:rPr>
        <w:t xml:space="preserve"> процента плановых назначений.</w:t>
      </w:r>
    </w:p>
    <w:p w:rsidR="009C45F8" w:rsidRPr="001A299F" w:rsidRDefault="009C45F8" w:rsidP="009C45F8">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по доходам от уплаты акцизов на моторные масла для дизельных и (или) карбюраторных (инжекторных) двигателей, подлежащим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201</w:t>
      </w:r>
      <w:r>
        <w:rPr>
          <w:rFonts w:ascii="Times New Roman" w:eastAsia="Times New Roman" w:hAnsi="Times New Roman" w:cs="Times New Roman"/>
          <w:sz w:val="24"/>
          <w:szCs w:val="24"/>
          <w:lang w:eastAsia="ru-RU"/>
        </w:rPr>
        <w:t xml:space="preserve">7 </w:t>
      </w:r>
      <w:r w:rsidRPr="001A299F">
        <w:rPr>
          <w:rFonts w:ascii="Times New Roman" w:eastAsia="Times New Roman" w:hAnsi="Times New Roman" w:cs="Times New Roman"/>
          <w:sz w:val="24"/>
          <w:szCs w:val="24"/>
          <w:lang w:eastAsia="ru-RU"/>
        </w:rPr>
        <w:t xml:space="preserve">год составляет </w:t>
      </w:r>
      <w:r>
        <w:rPr>
          <w:rFonts w:ascii="Times New Roman" w:eastAsia="Times New Roman" w:hAnsi="Times New Roman" w:cs="Times New Roman"/>
          <w:sz w:val="24"/>
          <w:szCs w:val="24"/>
          <w:lang w:eastAsia="ru-RU"/>
        </w:rPr>
        <w:t>8447,5</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121,6</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Pr="001A299F" w:rsidRDefault="009C45F8" w:rsidP="009C45F8">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Поступления по акцизам на пиво, производимое на территории Российской Федерации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составляют </w:t>
      </w:r>
      <w:r>
        <w:rPr>
          <w:rFonts w:ascii="Times New Roman" w:eastAsia="Times New Roman" w:hAnsi="Times New Roman" w:cs="Times New Roman"/>
          <w:sz w:val="24"/>
          <w:szCs w:val="24"/>
          <w:lang w:eastAsia="ru-RU"/>
        </w:rPr>
        <w:t>10205,6</w:t>
      </w:r>
      <w:r w:rsidRPr="001A299F">
        <w:rPr>
          <w:rFonts w:ascii="Times New Roman" w:eastAsia="Times New Roman" w:hAnsi="Times New Roman" w:cs="Times New Roman"/>
          <w:sz w:val="24"/>
          <w:szCs w:val="24"/>
          <w:lang w:eastAsia="ru-RU"/>
        </w:rPr>
        <w:t xml:space="preserve"> тыс. рублей, при плановых назначениях в объеме </w:t>
      </w:r>
      <w:r>
        <w:rPr>
          <w:rFonts w:ascii="Times New Roman" w:eastAsia="Times New Roman" w:hAnsi="Times New Roman" w:cs="Times New Roman"/>
          <w:sz w:val="24"/>
          <w:szCs w:val="24"/>
          <w:lang w:eastAsia="ru-RU"/>
        </w:rPr>
        <w:t>10111,0</w:t>
      </w:r>
      <w:r w:rsidRPr="001A299F">
        <w:rPr>
          <w:rFonts w:ascii="Times New Roman" w:eastAsia="Times New Roman" w:hAnsi="Times New Roman" w:cs="Times New Roman"/>
          <w:sz w:val="24"/>
          <w:szCs w:val="24"/>
          <w:lang w:eastAsia="ru-RU"/>
        </w:rPr>
        <w:t xml:space="preserve"> тыс. рублей, или 1</w:t>
      </w:r>
      <w:r>
        <w:rPr>
          <w:rFonts w:ascii="Times New Roman" w:eastAsia="Times New Roman" w:hAnsi="Times New Roman" w:cs="Times New Roman"/>
          <w:sz w:val="24"/>
          <w:szCs w:val="24"/>
          <w:lang w:eastAsia="ru-RU"/>
        </w:rPr>
        <w:t>00,9</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Default="009C45F8" w:rsidP="009C45F8">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lastRenderedPageBreak/>
        <w:t xml:space="preserve">Объем поступлений налога, взимаемого в связи с применением упрощенной системы налогообложения, за отчетный период составил </w:t>
      </w:r>
      <w:r>
        <w:rPr>
          <w:rFonts w:ascii="Times New Roman" w:eastAsia="Times New Roman" w:hAnsi="Times New Roman" w:cs="Times New Roman"/>
          <w:sz w:val="24"/>
          <w:szCs w:val="24"/>
          <w:lang w:eastAsia="ru-RU"/>
        </w:rPr>
        <w:t>1691049,0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99,5</w:t>
      </w:r>
      <w:r w:rsidRPr="001A299F">
        <w:rPr>
          <w:rFonts w:ascii="Times New Roman" w:eastAsia="Times New Roman" w:hAnsi="Times New Roman" w:cs="Times New Roman"/>
          <w:sz w:val="24"/>
          <w:szCs w:val="24"/>
          <w:lang w:eastAsia="ru-RU"/>
        </w:rPr>
        <w:t xml:space="preserve"> процента плановых назначений, что выше объема поступлений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на </w:t>
      </w:r>
      <w:r>
        <w:rPr>
          <w:rFonts w:ascii="Times New Roman" w:eastAsia="Times New Roman" w:hAnsi="Times New Roman" w:cs="Times New Roman"/>
          <w:sz w:val="24"/>
          <w:szCs w:val="24"/>
          <w:lang w:eastAsia="ru-RU"/>
        </w:rPr>
        <w:t>252398,5</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17,5</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p>
    <w:p w:rsidR="009C45F8" w:rsidRPr="001A299F" w:rsidRDefault="009C45F8" w:rsidP="009C45F8">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Уточненные плановые назначения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по налогу составляют </w:t>
      </w:r>
      <w:r>
        <w:rPr>
          <w:rFonts w:ascii="Times New Roman" w:eastAsia="Times New Roman" w:hAnsi="Times New Roman" w:cs="Times New Roman"/>
          <w:sz w:val="24"/>
          <w:szCs w:val="24"/>
          <w:lang w:eastAsia="ru-RU"/>
        </w:rPr>
        <w:t>1700360,9</w:t>
      </w:r>
      <w:r w:rsidRPr="001A299F">
        <w:rPr>
          <w:rFonts w:ascii="Times New Roman" w:eastAsia="Times New Roman" w:hAnsi="Times New Roman" w:cs="Times New Roman"/>
          <w:sz w:val="24"/>
          <w:szCs w:val="24"/>
          <w:lang w:eastAsia="ru-RU"/>
        </w:rPr>
        <w:t xml:space="preserve"> тыс. рублей, что на </w:t>
      </w:r>
      <w:r>
        <w:rPr>
          <w:rFonts w:ascii="Times New Roman" w:eastAsia="Times New Roman" w:hAnsi="Times New Roman" w:cs="Times New Roman"/>
          <w:sz w:val="24"/>
          <w:szCs w:val="24"/>
          <w:lang w:eastAsia="ru-RU"/>
        </w:rPr>
        <w:t>343202,9</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25,3</w:t>
      </w:r>
      <w:r w:rsidRPr="001A299F">
        <w:rPr>
          <w:rFonts w:ascii="Times New Roman" w:eastAsia="Times New Roman" w:hAnsi="Times New Roman" w:cs="Times New Roman"/>
          <w:sz w:val="24"/>
          <w:szCs w:val="24"/>
          <w:lang w:eastAsia="ru-RU"/>
        </w:rPr>
        <w:t xml:space="preserve"> процента </w:t>
      </w:r>
      <w:r>
        <w:rPr>
          <w:rFonts w:ascii="Times New Roman" w:eastAsia="Times New Roman" w:hAnsi="Times New Roman" w:cs="Times New Roman"/>
          <w:sz w:val="24"/>
          <w:szCs w:val="24"/>
          <w:lang w:eastAsia="ru-RU"/>
        </w:rPr>
        <w:t>больше</w:t>
      </w:r>
      <w:r w:rsidRPr="001A299F">
        <w:rPr>
          <w:rFonts w:ascii="Times New Roman" w:eastAsia="Times New Roman" w:hAnsi="Times New Roman" w:cs="Times New Roman"/>
          <w:sz w:val="24"/>
          <w:szCs w:val="24"/>
          <w:lang w:eastAsia="ru-RU"/>
        </w:rPr>
        <w:t xml:space="preserve"> первоначальных плановых назначений.</w:t>
      </w:r>
    </w:p>
    <w:p w:rsidR="009C45F8" w:rsidRPr="001A299F" w:rsidRDefault="009C45F8" w:rsidP="009C45F8">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46B7">
        <w:rPr>
          <w:rFonts w:ascii="Times New Roman" w:eastAsia="Times New Roman" w:hAnsi="Times New Roman" w:cs="Times New Roman"/>
          <w:sz w:val="24"/>
          <w:szCs w:val="24"/>
          <w:lang w:eastAsia="ru-RU"/>
        </w:rPr>
        <w:t xml:space="preserve">Налог на имущество </w:t>
      </w:r>
      <w:r w:rsidRPr="001A299F">
        <w:rPr>
          <w:rFonts w:ascii="Times New Roman" w:eastAsia="Times New Roman" w:hAnsi="Times New Roman" w:cs="Times New Roman"/>
          <w:sz w:val="24"/>
          <w:szCs w:val="24"/>
          <w:lang w:eastAsia="ru-RU"/>
        </w:rPr>
        <w:t xml:space="preserve">организаций при уточненных плановых назначениях в размере </w:t>
      </w:r>
      <w:r>
        <w:rPr>
          <w:rFonts w:ascii="Times New Roman" w:eastAsia="Times New Roman" w:hAnsi="Times New Roman" w:cs="Times New Roman"/>
          <w:sz w:val="24"/>
          <w:szCs w:val="24"/>
          <w:lang w:eastAsia="ru-RU"/>
        </w:rPr>
        <w:t>7762847,0</w:t>
      </w:r>
      <w:r w:rsidRPr="001A299F">
        <w:rPr>
          <w:rFonts w:ascii="Times New Roman" w:eastAsia="Times New Roman" w:hAnsi="Times New Roman" w:cs="Times New Roman"/>
          <w:sz w:val="24"/>
          <w:szCs w:val="24"/>
          <w:lang w:eastAsia="ru-RU"/>
        </w:rPr>
        <w:t xml:space="preserve"> тыс. рублей, что </w:t>
      </w:r>
      <w:r>
        <w:rPr>
          <w:rFonts w:ascii="Times New Roman" w:eastAsia="Times New Roman" w:hAnsi="Times New Roman" w:cs="Times New Roman"/>
          <w:sz w:val="24"/>
          <w:szCs w:val="24"/>
          <w:lang w:eastAsia="ru-RU"/>
        </w:rPr>
        <w:t>больше</w:t>
      </w:r>
      <w:r w:rsidRPr="001A299F">
        <w:rPr>
          <w:rFonts w:ascii="Times New Roman" w:eastAsia="Times New Roman" w:hAnsi="Times New Roman" w:cs="Times New Roman"/>
          <w:sz w:val="24"/>
          <w:szCs w:val="24"/>
          <w:lang w:eastAsia="ru-RU"/>
        </w:rPr>
        <w:t xml:space="preserve"> первоначальных плановых назначений на </w:t>
      </w:r>
      <w:r>
        <w:rPr>
          <w:rFonts w:ascii="Times New Roman" w:eastAsia="Times New Roman" w:hAnsi="Times New Roman" w:cs="Times New Roman"/>
          <w:sz w:val="24"/>
          <w:szCs w:val="24"/>
          <w:lang w:eastAsia="ru-RU"/>
        </w:rPr>
        <w:t>312951,0</w:t>
      </w:r>
      <w:r w:rsidRPr="001A299F">
        <w:rPr>
          <w:rFonts w:ascii="Times New Roman" w:eastAsia="Times New Roman" w:hAnsi="Times New Roman" w:cs="Times New Roman"/>
          <w:sz w:val="24"/>
          <w:szCs w:val="24"/>
          <w:lang w:eastAsia="ru-RU"/>
        </w:rPr>
        <w:t xml:space="preserve"> тыс. рублей, поступил в областной бюджет в сумме </w:t>
      </w:r>
      <w:r>
        <w:rPr>
          <w:rFonts w:ascii="Times New Roman" w:eastAsia="Times New Roman" w:hAnsi="Times New Roman" w:cs="Times New Roman"/>
          <w:sz w:val="24"/>
          <w:szCs w:val="24"/>
          <w:lang w:eastAsia="ru-RU"/>
        </w:rPr>
        <w:t>7431760,8</w:t>
      </w:r>
      <w:r w:rsidRPr="001A299F">
        <w:rPr>
          <w:rFonts w:ascii="Times New Roman" w:eastAsia="Times New Roman" w:hAnsi="Times New Roman" w:cs="Times New Roman"/>
          <w:sz w:val="24"/>
          <w:szCs w:val="24"/>
          <w:lang w:eastAsia="ru-RU"/>
        </w:rPr>
        <w:t xml:space="preserve"> тыс. рублей, уровень исполнения </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95,7</w:t>
      </w:r>
      <w:r w:rsidRPr="001A299F">
        <w:rPr>
          <w:rFonts w:ascii="Times New Roman" w:eastAsia="Times New Roman" w:hAnsi="Times New Roman" w:cs="Times New Roman"/>
          <w:sz w:val="24"/>
          <w:szCs w:val="24"/>
          <w:lang w:eastAsia="ru-RU"/>
        </w:rPr>
        <w:t xml:space="preserve"> процента плановых назначений. По сравнению с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годом прирост поступлений по налогу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составляет </w:t>
      </w:r>
      <w:r>
        <w:rPr>
          <w:rFonts w:ascii="Times New Roman" w:eastAsia="Times New Roman" w:hAnsi="Times New Roman" w:cs="Times New Roman"/>
          <w:sz w:val="24"/>
          <w:szCs w:val="24"/>
          <w:lang w:eastAsia="ru-RU"/>
        </w:rPr>
        <w:t>846156,2</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12,8</w:t>
      </w:r>
      <w:r w:rsidRPr="001A299F">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w:t>
      </w:r>
    </w:p>
    <w:p w:rsidR="009C45F8" w:rsidRPr="001A299F"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Плановые назначения по транспортному налогу установлены в сумме </w:t>
      </w:r>
      <w:r>
        <w:rPr>
          <w:rFonts w:ascii="Times New Roman" w:eastAsia="Times New Roman" w:hAnsi="Times New Roman" w:cs="Times New Roman"/>
          <w:sz w:val="24"/>
          <w:szCs w:val="24"/>
          <w:lang w:eastAsia="ru-RU"/>
        </w:rPr>
        <w:t>875107,0</w:t>
      </w:r>
      <w:r w:rsidRPr="001A299F">
        <w:rPr>
          <w:rFonts w:ascii="Times New Roman" w:eastAsia="Times New Roman" w:hAnsi="Times New Roman" w:cs="Times New Roman"/>
          <w:sz w:val="24"/>
          <w:szCs w:val="24"/>
          <w:lang w:eastAsia="ru-RU"/>
        </w:rPr>
        <w:t xml:space="preserve"> тыс. рублей, исполнение составило </w:t>
      </w:r>
      <w:r>
        <w:rPr>
          <w:rFonts w:ascii="Times New Roman" w:eastAsia="Times New Roman" w:hAnsi="Times New Roman" w:cs="Times New Roman"/>
          <w:sz w:val="24"/>
          <w:szCs w:val="24"/>
          <w:lang w:eastAsia="ru-RU"/>
        </w:rPr>
        <w:t xml:space="preserve">957134,7 </w:t>
      </w:r>
      <w:r w:rsidRPr="001A299F">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109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процента плановых назначений. Наибольший объем поступлений приходится на транспортный налог с физических лиц – </w:t>
      </w:r>
      <w:r>
        <w:rPr>
          <w:rFonts w:ascii="Times New Roman" w:eastAsia="Times New Roman" w:hAnsi="Times New Roman" w:cs="Times New Roman"/>
          <w:sz w:val="24"/>
          <w:szCs w:val="24"/>
          <w:lang w:eastAsia="ru-RU"/>
        </w:rPr>
        <w:t>775440,7</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уровень исполнения – 113,6 процента плановых назначений</w:t>
      </w:r>
      <w:r w:rsidRPr="001A299F">
        <w:rPr>
          <w:rFonts w:ascii="Times New Roman" w:eastAsia="Times New Roman" w:hAnsi="Times New Roman" w:cs="Times New Roman"/>
          <w:sz w:val="24"/>
          <w:szCs w:val="24"/>
          <w:lang w:eastAsia="ru-RU"/>
        </w:rPr>
        <w:t xml:space="preserve">. Объем поступлений по транспортному налогу с организаций составляет </w:t>
      </w:r>
      <w:r>
        <w:rPr>
          <w:rFonts w:ascii="Times New Roman" w:eastAsia="Times New Roman" w:hAnsi="Times New Roman" w:cs="Times New Roman"/>
          <w:sz w:val="24"/>
          <w:szCs w:val="24"/>
          <w:lang w:eastAsia="ru-RU"/>
        </w:rPr>
        <w:t>181694,0</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уровень исполнения – 94,3 процента</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В течение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года в плановые назначения по транспортному налогу</w:t>
      </w:r>
      <w:r>
        <w:rPr>
          <w:rFonts w:ascii="Times New Roman" w:eastAsia="Times New Roman" w:hAnsi="Times New Roman" w:cs="Times New Roman"/>
          <w:sz w:val="24"/>
          <w:szCs w:val="24"/>
          <w:lang w:eastAsia="ru-RU"/>
        </w:rPr>
        <w:t xml:space="preserve"> изменения не вносились. Прир</w:t>
      </w:r>
      <w:r w:rsidRPr="001A299F">
        <w:rPr>
          <w:rFonts w:ascii="Times New Roman" w:eastAsia="Times New Roman" w:hAnsi="Times New Roman" w:cs="Times New Roman"/>
          <w:sz w:val="24"/>
          <w:szCs w:val="24"/>
          <w:lang w:eastAsia="ru-RU"/>
        </w:rPr>
        <w:t>ост объема поступлений по сравнению с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годом составляет </w:t>
      </w:r>
      <w:r>
        <w:rPr>
          <w:rFonts w:ascii="Times New Roman" w:eastAsia="Times New Roman" w:hAnsi="Times New Roman" w:cs="Times New Roman"/>
          <w:sz w:val="24"/>
          <w:szCs w:val="24"/>
          <w:lang w:eastAsia="ru-RU"/>
        </w:rPr>
        <w:t>103991,6</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12,2</w:t>
      </w:r>
      <w:r w:rsidRPr="001A299F">
        <w:rPr>
          <w:rFonts w:ascii="Times New Roman" w:eastAsia="Times New Roman" w:hAnsi="Times New Roman" w:cs="Times New Roman"/>
          <w:sz w:val="24"/>
          <w:szCs w:val="24"/>
          <w:lang w:eastAsia="ru-RU"/>
        </w:rPr>
        <w:t xml:space="preserve"> процента.</w:t>
      </w:r>
    </w:p>
    <w:p w:rsidR="009C45F8" w:rsidRPr="001A299F" w:rsidRDefault="009C45F8" w:rsidP="009C45F8">
      <w:pPr>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Налог на игорный бизнес поступил в областной бюджет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в </w:t>
      </w:r>
      <w:r w:rsidRPr="001A299F">
        <w:rPr>
          <w:rFonts w:ascii="Times New Roman" w:hAnsi="Times New Roman" w:cs="Times New Roman"/>
          <w:sz w:val="24"/>
          <w:szCs w:val="24"/>
        </w:rPr>
        <w:br/>
        <w:t xml:space="preserve">объеме </w:t>
      </w:r>
      <w:r>
        <w:rPr>
          <w:rFonts w:ascii="Times New Roman" w:hAnsi="Times New Roman" w:cs="Times New Roman"/>
          <w:sz w:val="24"/>
          <w:szCs w:val="24"/>
        </w:rPr>
        <w:t>413,0</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или 119,2 процента плановых назначений</w:t>
      </w:r>
      <w:r w:rsidRPr="001A299F">
        <w:rPr>
          <w:rFonts w:ascii="Times New Roman" w:hAnsi="Times New Roman" w:cs="Times New Roman"/>
          <w:sz w:val="24"/>
          <w:szCs w:val="24"/>
        </w:rPr>
        <w:t>.</w:t>
      </w:r>
    </w:p>
    <w:p w:rsidR="009C45F8" w:rsidRPr="001A299F"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Налог на добычу полезных ископаемых при уточненных плановых назначениях в сумме </w:t>
      </w:r>
      <w:r>
        <w:rPr>
          <w:rFonts w:ascii="Times New Roman" w:eastAsia="Times New Roman" w:hAnsi="Times New Roman" w:cs="Times New Roman"/>
          <w:sz w:val="24"/>
          <w:szCs w:val="24"/>
          <w:lang w:eastAsia="ru-RU"/>
        </w:rPr>
        <w:t>1151908,0</w:t>
      </w:r>
      <w:r w:rsidRPr="001A299F">
        <w:rPr>
          <w:rFonts w:ascii="Times New Roman" w:eastAsia="Times New Roman" w:hAnsi="Times New Roman" w:cs="Times New Roman"/>
          <w:sz w:val="24"/>
          <w:szCs w:val="24"/>
          <w:lang w:eastAsia="ru-RU"/>
        </w:rPr>
        <w:t xml:space="preserve">  тыс. рублей, поступил в доход областного бюджета в сумме </w:t>
      </w:r>
      <w:r>
        <w:rPr>
          <w:rFonts w:ascii="Times New Roman" w:eastAsia="Times New Roman" w:hAnsi="Times New Roman" w:cs="Times New Roman"/>
          <w:sz w:val="24"/>
          <w:szCs w:val="24"/>
          <w:lang w:eastAsia="ru-RU"/>
        </w:rPr>
        <w:t>1586090,3</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137,7</w:t>
      </w:r>
      <w:r w:rsidRPr="001A299F">
        <w:rPr>
          <w:rFonts w:ascii="Times New Roman" w:eastAsia="Times New Roman" w:hAnsi="Times New Roman" w:cs="Times New Roman"/>
          <w:sz w:val="24"/>
          <w:szCs w:val="24"/>
          <w:lang w:eastAsia="ru-RU"/>
        </w:rPr>
        <w:t xml:space="preserve"> процента плановых назначений, что </w:t>
      </w:r>
      <w:r>
        <w:rPr>
          <w:rFonts w:ascii="Times New Roman" w:eastAsia="Times New Roman" w:hAnsi="Times New Roman" w:cs="Times New Roman"/>
          <w:sz w:val="24"/>
          <w:szCs w:val="24"/>
          <w:lang w:eastAsia="ru-RU"/>
        </w:rPr>
        <w:t>ниже</w:t>
      </w:r>
      <w:r w:rsidRPr="001A299F">
        <w:rPr>
          <w:rFonts w:ascii="Times New Roman" w:eastAsia="Times New Roman" w:hAnsi="Times New Roman" w:cs="Times New Roman"/>
          <w:sz w:val="24"/>
          <w:szCs w:val="24"/>
          <w:lang w:eastAsia="ru-RU"/>
        </w:rPr>
        <w:t xml:space="preserve"> уровня поступлений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на </w:t>
      </w:r>
      <w:r>
        <w:rPr>
          <w:rFonts w:ascii="Times New Roman" w:eastAsia="Times New Roman" w:hAnsi="Times New Roman" w:cs="Times New Roman"/>
          <w:sz w:val="24"/>
          <w:szCs w:val="24"/>
          <w:lang w:eastAsia="ru-RU"/>
        </w:rPr>
        <w:t>236975,2</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13,0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2829DE">
        <w:rPr>
          <w:rFonts w:ascii="Times New Roman" w:eastAsia="Times New Roman" w:hAnsi="Times New Roman" w:cs="Times New Roman"/>
          <w:sz w:val="24"/>
          <w:szCs w:val="24"/>
          <w:lang w:eastAsia="ru-RU"/>
        </w:rPr>
        <w:t>.</w:t>
      </w:r>
      <w:r w:rsidRPr="006B5929">
        <w:rPr>
          <w:rFonts w:ascii="Times New Roman" w:eastAsia="Times New Roman" w:hAnsi="Times New Roman" w:cs="Times New Roman"/>
          <w:color w:val="FF0000"/>
          <w:sz w:val="24"/>
          <w:szCs w:val="24"/>
          <w:lang w:eastAsia="ru-RU"/>
        </w:rPr>
        <w:t xml:space="preserve"> </w:t>
      </w:r>
      <w:r w:rsidRPr="001A299F">
        <w:rPr>
          <w:rFonts w:ascii="Times New Roman" w:eastAsia="Times New Roman" w:hAnsi="Times New Roman" w:cs="Times New Roman"/>
          <w:sz w:val="24"/>
          <w:szCs w:val="24"/>
          <w:lang w:eastAsia="ru-RU"/>
        </w:rPr>
        <w:t xml:space="preserve">В плановые назначения по налогу в течение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года вносились изменения. Уточненные плановые назначения по сравнению с первоначальными плановыми назначениями по налогу </w:t>
      </w:r>
      <w:r>
        <w:rPr>
          <w:rFonts w:ascii="Times New Roman" w:eastAsia="Times New Roman" w:hAnsi="Times New Roman" w:cs="Times New Roman"/>
          <w:sz w:val="24"/>
          <w:szCs w:val="24"/>
          <w:lang w:eastAsia="ru-RU"/>
        </w:rPr>
        <w:t>уменьшены</w:t>
      </w:r>
      <w:r w:rsidRPr="001A299F">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1083346,0</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или 48,5 процента.</w:t>
      </w:r>
    </w:p>
    <w:p w:rsidR="009C45F8" w:rsidRPr="001A299F"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пошлина поступила в областной бюджет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в сумме </w:t>
      </w:r>
      <w:r>
        <w:rPr>
          <w:rFonts w:ascii="Times New Roman" w:eastAsia="Times New Roman" w:hAnsi="Times New Roman" w:cs="Times New Roman"/>
          <w:sz w:val="24"/>
          <w:szCs w:val="24"/>
          <w:lang w:eastAsia="ru-RU"/>
        </w:rPr>
        <w:t>150758,3</w:t>
      </w:r>
      <w:r w:rsidRPr="001A299F">
        <w:rPr>
          <w:rFonts w:ascii="Times New Roman" w:eastAsia="Times New Roman" w:hAnsi="Times New Roman" w:cs="Times New Roman"/>
          <w:sz w:val="24"/>
          <w:szCs w:val="24"/>
          <w:lang w:eastAsia="ru-RU"/>
        </w:rPr>
        <w:t xml:space="preserve"> тыс. рублей при плановых назначениях </w:t>
      </w:r>
      <w:r>
        <w:rPr>
          <w:rFonts w:ascii="Times New Roman" w:eastAsia="Times New Roman" w:hAnsi="Times New Roman" w:cs="Times New Roman"/>
          <w:sz w:val="24"/>
          <w:szCs w:val="24"/>
          <w:lang w:eastAsia="ru-RU"/>
        </w:rPr>
        <w:t>132361,2</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113,9</w:t>
      </w:r>
      <w:r w:rsidRPr="001A299F">
        <w:rPr>
          <w:rFonts w:ascii="Times New Roman" w:eastAsia="Times New Roman" w:hAnsi="Times New Roman" w:cs="Times New Roman"/>
          <w:sz w:val="24"/>
          <w:szCs w:val="24"/>
          <w:lang w:eastAsia="ru-RU"/>
        </w:rPr>
        <w:t xml:space="preserve"> процента плановых назначений</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Объем поступлений государственной пошлины в 2017 году </w:t>
      </w:r>
      <w:r w:rsidRPr="001A299F">
        <w:rPr>
          <w:rFonts w:ascii="Times New Roman" w:eastAsia="Times New Roman" w:hAnsi="Times New Roman" w:cs="Times New Roman"/>
          <w:sz w:val="24"/>
          <w:szCs w:val="24"/>
          <w:lang w:eastAsia="ru-RU"/>
        </w:rPr>
        <w:t xml:space="preserve">выше </w:t>
      </w:r>
      <w:r>
        <w:rPr>
          <w:rFonts w:ascii="Times New Roman" w:eastAsia="Times New Roman" w:hAnsi="Times New Roman" w:cs="Times New Roman"/>
          <w:sz w:val="24"/>
          <w:szCs w:val="24"/>
          <w:lang w:eastAsia="ru-RU"/>
        </w:rPr>
        <w:t xml:space="preserve">объема поступлений </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 на </w:t>
      </w:r>
      <w:r>
        <w:rPr>
          <w:rFonts w:ascii="Times New Roman" w:eastAsia="Times New Roman" w:hAnsi="Times New Roman" w:cs="Times New Roman"/>
          <w:sz w:val="24"/>
          <w:szCs w:val="24"/>
          <w:lang w:eastAsia="ru-RU"/>
        </w:rPr>
        <w:t xml:space="preserve">12929,2 </w:t>
      </w:r>
      <w:r w:rsidRPr="001A299F">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9,4 процента</w:t>
      </w:r>
      <w:r w:rsidRPr="001A299F">
        <w:rPr>
          <w:rFonts w:ascii="Times New Roman" w:eastAsia="Times New Roman" w:hAnsi="Times New Roman" w:cs="Times New Roman"/>
          <w:sz w:val="24"/>
          <w:szCs w:val="24"/>
          <w:lang w:eastAsia="ru-RU"/>
        </w:rPr>
        <w:t>. В плановые назначения по поступлениям государственной пошлины в течение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года вносились изменения. </w:t>
      </w:r>
      <w:r w:rsidR="00EE48D6" w:rsidRPr="001A299F">
        <w:rPr>
          <w:rFonts w:ascii="Times New Roman" w:eastAsia="Times New Roman" w:hAnsi="Times New Roman" w:cs="Times New Roman"/>
          <w:sz w:val="24"/>
          <w:szCs w:val="24"/>
          <w:lang w:eastAsia="ru-RU"/>
        </w:rPr>
        <w:t xml:space="preserve">Уточненные плановые назначения по сравнению с первоначальными </w:t>
      </w:r>
      <w:r w:rsidR="00EE48D6">
        <w:rPr>
          <w:rFonts w:ascii="Times New Roman" w:eastAsia="Times New Roman" w:hAnsi="Times New Roman" w:cs="Times New Roman"/>
          <w:sz w:val="24"/>
          <w:szCs w:val="24"/>
          <w:lang w:eastAsia="ru-RU"/>
        </w:rPr>
        <w:t xml:space="preserve">уменьшены </w:t>
      </w:r>
      <w:r w:rsidR="00EE48D6" w:rsidRPr="001A299F">
        <w:rPr>
          <w:rFonts w:ascii="Times New Roman" w:eastAsia="Times New Roman" w:hAnsi="Times New Roman" w:cs="Times New Roman"/>
          <w:sz w:val="24"/>
          <w:szCs w:val="24"/>
          <w:lang w:eastAsia="ru-RU"/>
        </w:rPr>
        <w:t xml:space="preserve">на </w:t>
      </w:r>
      <w:r w:rsidR="00EE48D6">
        <w:rPr>
          <w:rFonts w:ascii="Times New Roman" w:eastAsia="Times New Roman" w:hAnsi="Times New Roman" w:cs="Times New Roman"/>
          <w:sz w:val="24"/>
          <w:szCs w:val="24"/>
          <w:lang w:eastAsia="ru-RU"/>
        </w:rPr>
        <w:t>18085,7 тыс. рублей, или 12,0 процентов.</w:t>
      </w:r>
    </w:p>
    <w:p w:rsidR="009C45F8" w:rsidRPr="001A299F" w:rsidRDefault="009C45F8" w:rsidP="009C45F8">
      <w:pPr>
        <w:tabs>
          <w:tab w:val="left" w:pos="2700"/>
        </w:tabs>
        <w:spacing w:after="0" w:line="240" w:lineRule="auto"/>
        <w:ind w:firstLine="720"/>
        <w:jc w:val="both"/>
        <w:rPr>
          <w:rFonts w:ascii="Times New Roman" w:hAnsi="Times New Roman" w:cs="Times New Roman"/>
          <w:sz w:val="24"/>
          <w:szCs w:val="24"/>
        </w:rPr>
      </w:pPr>
      <w:r w:rsidRPr="001A299F">
        <w:rPr>
          <w:rFonts w:ascii="Times New Roman" w:hAnsi="Times New Roman" w:cs="Times New Roman"/>
          <w:sz w:val="24"/>
          <w:szCs w:val="24"/>
        </w:rPr>
        <w:t>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в областной бюджет поступали платежи в счет погашения задолженности по отмененным налогам, сборам и иным обязательным платежам  в сумме </w:t>
      </w:r>
      <w:r>
        <w:rPr>
          <w:rFonts w:ascii="Times New Roman" w:hAnsi="Times New Roman" w:cs="Times New Roman"/>
          <w:sz w:val="24"/>
          <w:szCs w:val="24"/>
        </w:rPr>
        <w:t>5,4</w:t>
      </w:r>
      <w:r w:rsidRPr="001A299F">
        <w:rPr>
          <w:rFonts w:ascii="Times New Roman" w:hAnsi="Times New Roman" w:cs="Times New Roman"/>
          <w:sz w:val="24"/>
          <w:szCs w:val="24"/>
        </w:rPr>
        <w:t xml:space="preserve"> тыс. рублей, в том числе наибольший объем составили поступления по </w:t>
      </w:r>
      <w:r>
        <w:rPr>
          <w:rFonts w:ascii="Times New Roman" w:hAnsi="Times New Roman" w:cs="Times New Roman"/>
          <w:sz w:val="24"/>
          <w:szCs w:val="24"/>
        </w:rPr>
        <w:t>налогу на пользователей автомобильных дорог – 2,8 тыс. рублей.</w:t>
      </w:r>
    </w:p>
    <w:p w:rsidR="009C45F8" w:rsidRPr="009C45F8" w:rsidRDefault="009C45F8" w:rsidP="009C45F8">
      <w:pPr>
        <w:widowControl w:val="0"/>
        <w:tabs>
          <w:tab w:val="left" w:pos="2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0E62">
        <w:rPr>
          <w:rFonts w:ascii="Times New Roman" w:eastAsia="Times New Roman" w:hAnsi="Times New Roman" w:cs="Times New Roman"/>
          <w:sz w:val="24"/>
          <w:szCs w:val="24"/>
          <w:lang w:eastAsia="ru-RU"/>
        </w:rPr>
        <w:t xml:space="preserve">На протяжении </w:t>
      </w:r>
      <w:r w:rsidRPr="001A299F">
        <w:rPr>
          <w:rFonts w:ascii="Times New Roman" w:eastAsia="Times New Roman" w:hAnsi="Times New Roman" w:cs="Times New Roman"/>
          <w:sz w:val="24"/>
          <w:szCs w:val="24"/>
          <w:lang w:eastAsia="ru-RU"/>
        </w:rPr>
        <w:t xml:space="preserve">последних </w:t>
      </w:r>
      <w:r>
        <w:rPr>
          <w:rFonts w:ascii="Times New Roman" w:eastAsia="Times New Roman" w:hAnsi="Times New Roman" w:cs="Times New Roman"/>
          <w:sz w:val="24"/>
          <w:szCs w:val="24"/>
          <w:lang w:eastAsia="ru-RU"/>
        </w:rPr>
        <w:t>трех</w:t>
      </w:r>
      <w:r w:rsidRPr="001A299F">
        <w:rPr>
          <w:rFonts w:ascii="Times New Roman" w:eastAsia="Times New Roman" w:hAnsi="Times New Roman" w:cs="Times New Roman"/>
          <w:sz w:val="24"/>
          <w:szCs w:val="24"/>
          <w:lang w:eastAsia="ru-RU"/>
        </w:rPr>
        <w:t xml:space="preserve"> лет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наблюдается тенденция устойчивого роста объема поступлений в доход областного бюджета основных налоговых доходов. Однако</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по отдельным налоговым доходам областного бюджета наблюдается снижение объема поступлений по сравнению с предыдущими отчетными годами</w:t>
      </w:r>
      <w:r>
        <w:rPr>
          <w:rFonts w:ascii="Times New Roman" w:eastAsia="Times New Roman" w:hAnsi="Times New Roman" w:cs="Times New Roman"/>
          <w:sz w:val="24"/>
          <w:szCs w:val="24"/>
          <w:lang w:eastAsia="ru-RU"/>
        </w:rPr>
        <w:t xml:space="preserve">, так по  акцизам по подакцизным товарам (продукции), производимым на территории Российской Федерации – снижение поступлений в 2017 году по сравнению с 2016 годом, по налогу на добычу полезных ископаемых – снижение поступлений в 2016 году по сравнению </w:t>
      </w:r>
      <w:r>
        <w:rPr>
          <w:rFonts w:ascii="Times New Roman" w:eastAsia="Times New Roman" w:hAnsi="Times New Roman" w:cs="Times New Roman"/>
          <w:sz w:val="24"/>
          <w:szCs w:val="24"/>
          <w:lang w:eastAsia="ru-RU"/>
        </w:rPr>
        <w:br/>
        <w:t>с 2015 годом, в 2017 году по сравнению с 2016 годом,  налогу на доходы физических лиц – снижение поступлений в 2016 году по сравнению с 2015 годом</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w:t>
      </w:r>
      <w:r w:rsidRPr="001A299F">
        <w:rPr>
          <w:rFonts w:ascii="Times New Roman" w:eastAsia="Times New Roman" w:hAnsi="Times New Roman" w:cs="Times New Roman"/>
          <w:sz w:val="24"/>
          <w:szCs w:val="24"/>
          <w:lang w:eastAsia="ru-RU"/>
        </w:rPr>
        <w:t xml:space="preserve">о всем </w:t>
      </w:r>
      <w:r>
        <w:rPr>
          <w:rFonts w:ascii="Times New Roman" w:eastAsia="Times New Roman" w:hAnsi="Times New Roman" w:cs="Times New Roman"/>
          <w:sz w:val="24"/>
          <w:szCs w:val="24"/>
          <w:lang w:eastAsia="ru-RU"/>
        </w:rPr>
        <w:t xml:space="preserve">остальным </w:t>
      </w:r>
      <w:r w:rsidRPr="001A299F">
        <w:rPr>
          <w:rFonts w:ascii="Times New Roman" w:eastAsia="Times New Roman" w:hAnsi="Times New Roman" w:cs="Times New Roman"/>
          <w:sz w:val="24"/>
          <w:szCs w:val="24"/>
          <w:lang w:eastAsia="ru-RU"/>
        </w:rPr>
        <w:t xml:space="preserve">налоговым доходам областного бюджета </w:t>
      </w:r>
      <w:r>
        <w:rPr>
          <w:rFonts w:ascii="Times New Roman" w:eastAsia="Times New Roman" w:hAnsi="Times New Roman" w:cs="Times New Roman"/>
          <w:sz w:val="24"/>
          <w:szCs w:val="24"/>
          <w:lang w:eastAsia="ru-RU"/>
        </w:rPr>
        <w:t xml:space="preserve">в 2017 году по сравнению с </w:t>
      </w:r>
      <w:r>
        <w:rPr>
          <w:rFonts w:ascii="Times New Roman" w:eastAsia="Times New Roman" w:hAnsi="Times New Roman" w:cs="Times New Roman"/>
          <w:sz w:val="24"/>
          <w:szCs w:val="24"/>
          <w:lang w:eastAsia="ru-RU"/>
        </w:rPr>
        <w:br/>
        <w:t xml:space="preserve">2016 годом </w:t>
      </w:r>
      <w:r w:rsidRPr="001A299F">
        <w:rPr>
          <w:rFonts w:ascii="Times New Roman" w:eastAsia="Times New Roman" w:hAnsi="Times New Roman" w:cs="Times New Roman"/>
          <w:sz w:val="24"/>
          <w:szCs w:val="24"/>
          <w:lang w:eastAsia="ru-RU"/>
        </w:rPr>
        <w:t>наблюдается рост объема поступлений. Динамика объема поступлений основных налоговых доходов областного бюджета за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представлена в диаграмме </w:t>
      </w:r>
      <w:r w:rsidRPr="004F346E">
        <w:rPr>
          <w:rFonts w:ascii="Times New Roman" w:eastAsia="Times New Roman" w:hAnsi="Times New Roman" w:cs="Times New Roman"/>
          <w:sz w:val="24"/>
          <w:szCs w:val="24"/>
          <w:lang w:eastAsia="ru-RU"/>
        </w:rPr>
        <w:t xml:space="preserve">на </w:t>
      </w:r>
      <w:r w:rsidRPr="009C45F8">
        <w:rPr>
          <w:rFonts w:ascii="Times New Roman" w:eastAsia="Times New Roman" w:hAnsi="Times New Roman" w:cs="Times New Roman"/>
          <w:sz w:val="24"/>
          <w:szCs w:val="24"/>
          <w:lang w:eastAsia="ru-RU"/>
        </w:rPr>
        <w:t>рисунке 18.</w:t>
      </w:r>
    </w:p>
    <w:p w:rsidR="009C45F8" w:rsidRPr="001A299F" w:rsidRDefault="009C45F8" w:rsidP="009C45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noProof/>
          <w:color w:val="DBE5F1"/>
          <w:sz w:val="24"/>
          <w:szCs w:val="24"/>
          <w:lang w:eastAsia="ru-RU"/>
        </w:rPr>
        <w:lastRenderedPageBreak/>
        <w:drawing>
          <wp:inline distT="0" distB="0" distL="0" distR="0" wp14:anchorId="67D51712" wp14:editId="74E305B9">
            <wp:extent cx="6134100" cy="42100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C45F8" w:rsidRPr="001A299F" w:rsidRDefault="009C45F8" w:rsidP="009C45F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C45F8">
        <w:rPr>
          <w:rFonts w:ascii="Times New Roman" w:eastAsia="Times New Roman" w:hAnsi="Times New Roman" w:cs="Times New Roman"/>
          <w:b/>
          <w:sz w:val="24"/>
          <w:szCs w:val="24"/>
          <w:lang w:eastAsia="ru-RU"/>
        </w:rPr>
        <w:t>Рис. 18</w:t>
      </w:r>
      <w:r w:rsidRPr="009C45F8">
        <w:rPr>
          <w:rFonts w:ascii="Times New Roman" w:eastAsia="Times New Roman" w:hAnsi="Times New Roman" w:cs="Times New Roman"/>
          <w:sz w:val="24"/>
          <w:szCs w:val="24"/>
          <w:lang w:eastAsia="ru-RU"/>
        </w:rPr>
        <w:t xml:space="preserve"> </w:t>
      </w:r>
      <w:r w:rsidRPr="004F346E">
        <w:rPr>
          <w:rFonts w:ascii="Times New Roman" w:eastAsia="Times New Roman" w:hAnsi="Times New Roman" w:cs="Times New Roman"/>
          <w:sz w:val="24"/>
          <w:szCs w:val="24"/>
          <w:lang w:eastAsia="ru-RU"/>
        </w:rPr>
        <w:t xml:space="preserve">- </w:t>
      </w:r>
      <w:r w:rsidRPr="004F346E">
        <w:rPr>
          <w:rFonts w:ascii="Times New Roman" w:eastAsia="Times New Roman" w:hAnsi="Times New Roman" w:cs="Times New Roman"/>
          <w:b/>
          <w:sz w:val="24"/>
          <w:szCs w:val="24"/>
          <w:lang w:eastAsia="ru-RU"/>
        </w:rPr>
        <w:t xml:space="preserve">Динамика объема поступлений основных налоговых доходов областного </w:t>
      </w:r>
      <w:r w:rsidRPr="001A299F">
        <w:rPr>
          <w:rFonts w:ascii="Times New Roman" w:eastAsia="Times New Roman" w:hAnsi="Times New Roman" w:cs="Times New Roman"/>
          <w:b/>
          <w:sz w:val="24"/>
          <w:szCs w:val="24"/>
          <w:lang w:eastAsia="ru-RU"/>
        </w:rPr>
        <w:t>бюджета за 201</w:t>
      </w:r>
      <w:r>
        <w:rPr>
          <w:rFonts w:ascii="Times New Roman" w:eastAsia="Times New Roman" w:hAnsi="Times New Roman" w:cs="Times New Roman"/>
          <w:b/>
          <w:sz w:val="24"/>
          <w:szCs w:val="24"/>
          <w:lang w:eastAsia="ru-RU"/>
        </w:rPr>
        <w:t>5</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годы, млн. рублей</w:t>
      </w:r>
    </w:p>
    <w:p w:rsidR="009C45F8" w:rsidRPr="001A299F" w:rsidRDefault="009C45F8" w:rsidP="009C45F8">
      <w:pPr>
        <w:spacing w:after="0" w:line="240" w:lineRule="auto"/>
        <w:ind w:firstLine="720"/>
        <w:jc w:val="both"/>
        <w:rPr>
          <w:rFonts w:ascii="Times New Roman" w:hAnsi="Times New Roman" w:cs="Times New Roman"/>
          <w:sz w:val="24"/>
          <w:szCs w:val="24"/>
        </w:rPr>
      </w:pPr>
    </w:p>
    <w:p w:rsidR="009C45F8" w:rsidRPr="00BB2215" w:rsidRDefault="009C45F8" w:rsidP="009C45F8">
      <w:pPr>
        <w:tabs>
          <w:tab w:val="left" w:pos="2700"/>
        </w:tabs>
        <w:spacing w:after="0" w:line="240" w:lineRule="auto"/>
        <w:ind w:firstLine="720"/>
        <w:jc w:val="both"/>
        <w:rPr>
          <w:rFonts w:ascii="Times New Roman" w:hAnsi="Times New Roman" w:cs="Times New Roman"/>
          <w:sz w:val="24"/>
          <w:szCs w:val="24"/>
        </w:rPr>
      </w:pPr>
      <w:r w:rsidRPr="0061776D">
        <w:rPr>
          <w:rFonts w:ascii="Times New Roman" w:hAnsi="Times New Roman" w:cs="Times New Roman"/>
          <w:sz w:val="24"/>
          <w:szCs w:val="24"/>
        </w:rPr>
        <w:t xml:space="preserve">Неналоговые доходы </w:t>
      </w:r>
      <w:r w:rsidRPr="003F6433">
        <w:rPr>
          <w:rFonts w:ascii="Times New Roman" w:hAnsi="Times New Roman" w:cs="Times New Roman"/>
          <w:sz w:val="24"/>
          <w:szCs w:val="24"/>
        </w:rPr>
        <w:t>поступили за 201</w:t>
      </w:r>
      <w:r>
        <w:rPr>
          <w:rFonts w:ascii="Times New Roman" w:hAnsi="Times New Roman" w:cs="Times New Roman"/>
          <w:sz w:val="24"/>
          <w:szCs w:val="24"/>
        </w:rPr>
        <w:t>7</w:t>
      </w:r>
      <w:r w:rsidRPr="003F6433">
        <w:rPr>
          <w:rFonts w:ascii="Times New Roman" w:hAnsi="Times New Roman" w:cs="Times New Roman"/>
          <w:sz w:val="24"/>
          <w:szCs w:val="24"/>
        </w:rPr>
        <w:t xml:space="preserve"> год в сумме </w:t>
      </w:r>
      <w:r>
        <w:rPr>
          <w:rFonts w:ascii="Times New Roman" w:hAnsi="Times New Roman" w:cs="Times New Roman"/>
          <w:sz w:val="24"/>
          <w:szCs w:val="24"/>
        </w:rPr>
        <w:t>1649623,8</w:t>
      </w:r>
      <w:r w:rsidRPr="003F6433">
        <w:rPr>
          <w:rFonts w:ascii="Times New Roman" w:hAnsi="Times New Roman" w:cs="Times New Roman"/>
          <w:sz w:val="24"/>
          <w:szCs w:val="24"/>
        </w:rPr>
        <w:t xml:space="preserve"> тыс. рублей, при утвержденных бюджетных назначениях </w:t>
      </w:r>
      <w:r>
        <w:rPr>
          <w:rFonts w:ascii="Times New Roman" w:hAnsi="Times New Roman" w:cs="Times New Roman"/>
          <w:sz w:val="24"/>
          <w:szCs w:val="24"/>
        </w:rPr>
        <w:t>1389059,8</w:t>
      </w:r>
      <w:r w:rsidRPr="003F6433">
        <w:rPr>
          <w:rFonts w:ascii="Times New Roman" w:hAnsi="Times New Roman" w:cs="Times New Roman"/>
          <w:sz w:val="24"/>
          <w:szCs w:val="24"/>
        </w:rPr>
        <w:t xml:space="preserve"> тыс. рублей, или </w:t>
      </w:r>
      <w:r>
        <w:rPr>
          <w:rFonts w:ascii="Times New Roman" w:hAnsi="Times New Roman" w:cs="Times New Roman"/>
          <w:sz w:val="24"/>
          <w:szCs w:val="24"/>
        </w:rPr>
        <w:t>118,8</w:t>
      </w:r>
      <w:r w:rsidRPr="003F6433">
        <w:rPr>
          <w:rFonts w:ascii="Times New Roman" w:hAnsi="Times New Roman" w:cs="Times New Roman"/>
          <w:sz w:val="24"/>
          <w:szCs w:val="24"/>
        </w:rPr>
        <w:t xml:space="preserve"> процента плановых назначений. </w:t>
      </w:r>
      <w:r w:rsidRPr="00BB2215">
        <w:rPr>
          <w:rFonts w:ascii="Times New Roman" w:hAnsi="Times New Roman" w:cs="Times New Roman"/>
          <w:sz w:val="24"/>
          <w:szCs w:val="24"/>
        </w:rPr>
        <w:t xml:space="preserve">Плановые назначения по неналоговым доходам перевыполнены  по всей группе платежей, в том числе по доходам от использования имущества исполнение составило </w:t>
      </w:r>
      <w:r>
        <w:rPr>
          <w:rFonts w:ascii="Times New Roman" w:hAnsi="Times New Roman" w:cs="Times New Roman"/>
          <w:sz w:val="24"/>
          <w:szCs w:val="24"/>
        </w:rPr>
        <w:br/>
      </w:r>
      <w:r w:rsidRPr="00BB2215">
        <w:rPr>
          <w:rFonts w:ascii="Times New Roman" w:hAnsi="Times New Roman" w:cs="Times New Roman"/>
          <w:sz w:val="24"/>
          <w:szCs w:val="24"/>
        </w:rPr>
        <w:t xml:space="preserve">110,8 процента плановых назначений, по платежам при пользовании природными </w:t>
      </w:r>
      <w:r>
        <w:rPr>
          <w:rFonts w:ascii="Times New Roman" w:hAnsi="Times New Roman" w:cs="Times New Roman"/>
          <w:sz w:val="24"/>
          <w:szCs w:val="24"/>
        </w:rPr>
        <w:br/>
      </w:r>
      <w:r w:rsidRPr="00BB2215">
        <w:rPr>
          <w:rFonts w:ascii="Times New Roman" w:hAnsi="Times New Roman" w:cs="Times New Roman"/>
          <w:sz w:val="24"/>
          <w:szCs w:val="24"/>
        </w:rPr>
        <w:t xml:space="preserve">ресурсами - 108,4 процента, доходам от оказания платных услуг (работ) и компенсации затрат государства – 101,2 процента, доходам от продажи материальных и нематериальных </w:t>
      </w:r>
      <w:r>
        <w:rPr>
          <w:rFonts w:ascii="Times New Roman" w:hAnsi="Times New Roman" w:cs="Times New Roman"/>
          <w:sz w:val="24"/>
          <w:szCs w:val="24"/>
        </w:rPr>
        <w:br/>
      </w:r>
      <w:r w:rsidRPr="00BB2215">
        <w:rPr>
          <w:rFonts w:ascii="Times New Roman" w:hAnsi="Times New Roman" w:cs="Times New Roman"/>
          <w:sz w:val="24"/>
          <w:szCs w:val="24"/>
        </w:rPr>
        <w:t xml:space="preserve">активов – 100,6 процента, административным платежам и сборам – 114,8 процента, штрафам, санкциям, возмещению ущерба – 186,0 процентов, прочим неналоговым доходам – </w:t>
      </w:r>
      <w:r>
        <w:rPr>
          <w:rFonts w:ascii="Times New Roman" w:hAnsi="Times New Roman" w:cs="Times New Roman"/>
          <w:sz w:val="24"/>
          <w:szCs w:val="24"/>
        </w:rPr>
        <w:br/>
      </w:r>
      <w:r w:rsidRPr="00BB2215">
        <w:rPr>
          <w:rFonts w:ascii="Times New Roman" w:hAnsi="Times New Roman" w:cs="Times New Roman"/>
          <w:sz w:val="24"/>
          <w:szCs w:val="24"/>
        </w:rPr>
        <w:t>117,1 процента.</w:t>
      </w:r>
    </w:p>
    <w:p w:rsidR="009C45F8" w:rsidRPr="00BB2215" w:rsidRDefault="009C45F8" w:rsidP="009C45F8">
      <w:pPr>
        <w:spacing w:after="0" w:line="240" w:lineRule="auto"/>
        <w:ind w:firstLine="720"/>
        <w:jc w:val="both"/>
        <w:rPr>
          <w:rFonts w:ascii="Times New Roman" w:hAnsi="Times New Roman" w:cs="Times New Roman"/>
          <w:sz w:val="24"/>
          <w:szCs w:val="24"/>
        </w:rPr>
      </w:pPr>
      <w:r w:rsidRPr="00BB2215">
        <w:rPr>
          <w:rFonts w:ascii="Times New Roman" w:hAnsi="Times New Roman" w:cs="Times New Roman"/>
          <w:sz w:val="24"/>
          <w:szCs w:val="24"/>
        </w:rPr>
        <w:t xml:space="preserve">Наибольшая доля в структуре неналоговых доходов областного бюджета за </w:t>
      </w:r>
      <w:r w:rsidRPr="00BB2215">
        <w:rPr>
          <w:rFonts w:ascii="Times New Roman" w:hAnsi="Times New Roman" w:cs="Times New Roman"/>
          <w:sz w:val="24"/>
          <w:szCs w:val="24"/>
        </w:rPr>
        <w:br/>
        <w:t>2017 год приходится на доходы от оказания платных услуг (работ) и компенсации затрат государства – 42,6 процента в общем объеме поступивших в 2017 году неналоговых доходов, штрафы, санкции, возмещение ущерба – 29,2 процента, платежи при пользовании природными ресурсами – 14,0 процентов.</w:t>
      </w:r>
    </w:p>
    <w:p w:rsidR="009C45F8" w:rsidRPr="009C45F8" w:rsidRDefault="009C45F8" w:rsidP="009C45F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Структура неналоговых доходов, поступивших в областной бюджет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представлена </w:t>
      </w:r>
      <w:r w:rsidRPr="009C45F8">
        <w:rPr>
          <w:rFonts w:ascii="Times New Roman" w:eastAsia="Times New Roman" w:hAnsi="Times New Roman" w:cs="Times New Roman"/>
          <w:sz w:val="24"/>
          <w:szCs w:val="24"/>
          <w:lang w:eastAsia="ru-RU"/>
        </w:rPr>
        <w:t>диаграммой на рисунке 19.</w:t>
      </w:r>
    </w:p>
    <w:p w:rsidR="00CC7DCD" w:rsidRPr="00CC7DCD" w:rsidRDefault="009C45F8" w:rsidP="00CC7DCD">
      <w:pPr>
        <w:spacing w:after="0" w:line="240" w:lineRule="auto"/>
        <w:ind w:firstLine="709"/>
        <w:jc w:val="both"/>
        <w:rPr>
          <w:rFonts w:ascii="Times New Roman" w:hAnsi="Times New Roman" w:cs="Times New Roman"/>
          <w:sz w:val="24"/>
          <w:szCs w:val="24"/>
        </w:rPr>
      </w:pPr>
      <w:r w:rsidRPr="00F6592A">
        <w:rPr>
          <w:rFonts w:ascii="Times New Roman" w:hAnsi="Times New Roman" w:cs="Times New Roman"/>
          <w:sz w:val="24"/>
          <w:szCs w:val="24"/>
        </w:rPr>
        <w:t>Доходы от использования имущества</w:t>
      </w:r>
      <w:r w:rsidRPr="004009FD">
        <w:rPr>
          <w:rFonts w:ascii="Times New Roman" w:hAnsi="Times New Roman" w:cs="Times New Roman"/>
          <w:sz w:val="24"/>
          <w:szCs w:val="24"/>
        </w:rPr>
        <w:t>, находящегося в государственной собственности, исполнены за 201</w:t>
      </w:r>
      <w:r>
        <w:rPr>
          <w:rFonts w:ascii="Times New Roman" w:hAnsi="Times New Roman" w:cs="Times New Roman"/>
          <w:sz w:val="24"/>
          <w:szCs w:val="24"/>
        </w:rPr>
        <w:t>7</w:t>
      </w:r>
      <w:r w:rsidRPr="004009FD">
        <w:rPr>
          <w:rFonts w:ascii="Times New Roman" w:hAnsi="Times New Roman" w:cs="Times New Roman"/>
          <w:sz w:val="24"/>
          <w:szCs w:val="24"/>
        </w:rPr>
        <w:t xml:space="preserve"> год в сумме </w:t>
      </w:r>
      <w:r>
        <w:rPr>
          <w:rFonts w:ascii="Times New Roman" w:hAnsi="Times New Roman" w:cs="Times New Roman"/>
          <w:sz w:val="24"/>
          <w:szCs w:val="24"/>
        </w:rPr>
        <w:t>102745,9</w:t>
      </w:r>
      <w:r w:rsidRPr="004009FD">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92768,0</w:t>
      </w:r>
      <w:r w:rsidRPr="004009FD">
        <w:rPr>
          <w:rFonts w:ascii="Times New Roman" w:hAnsi="Times New Roman" w:cs="Times New Roman"/>
          <w:sz w:val="24"/>
          <w:szCs w:val="24"/>
        </w:rPr>
        <w:t xml:space="preserve"> тыс. рублей, или 11</w:t>
      </w:r>
      <w:r>
        <w:rPr>
          <w:rFonts w:ascii="Times New Roman" w:hAnsi="Times New Roman" w:cs="Times New Roman"/>
          <w:sz w:val="24"/>
          <w:szCs w:val="24"/>
        </w:rPr>
        <w:t>0</w:t>
      </w:r>
      <w:r w:rsidRPr="004009FD">
        <w:rPr>
          <w:rFonts w:ascii="Times New Roman" w:hAnsi="Times New Roman" w:cs="Times New Roman"/>
          <w:sz w:val="24"/>
          <w:szCs w:val="24"/>
        </w:rPr>
        <w:t>,</w:t>
      </w:r>
      <w:r>
        <w:rPr>
          <w:rFonts w:ascii="Times New Roman" w:hAnsi="Times New Roman" w:cs="Times New Roman"/>
          <w:sz w:val="24"/>
          <w:szCs w:val="24"/>
        </w:rPr>
        <w:t>8</w:t>
      </w:r>
      <w:r w:rsidRPr="004009FD">
        <w:rPr>
          <w:rFonts w:ascii="Times New Roman" w:hAnsi="Times New Roman" w:cs="Times New Roman"/>
          <w:sz w:val="24"/>
          <w:szCs w:val="24"/>
        </w:rPr>
        <w:t xml:space="preserve"> процента плановых назначений</w:t>
      </w:r>
      <w:r w:rsidR="00CC7DCD" w:rsidRPr="00CC7DCD">
        <w:rPr>
          <w:rFonts w:ascii="Times New Roman" w:hAnsi="Times New Roman" w:cs="Times New Roman"/>
          <w:sz w:val="24"/>
          <w:szCs w:val="24"/>
        </w:rPr>
        <w:t>, в том числе:</w:t>
      </w:r>
    </w:p>
    <w:p w:rsidR="00CC7DCD" w:rsidRPr="00CC7DCD" w:rsidRDefault="00CC7DCD" w:rsidP="004D1C64">
      <w:pPr>
        <w:pStyle w:val="ad"/>
        <w:spacing w:line="295" w:lineRule="auto"/>
        <w:ind w:firstLine="709"/>
        <w:rPr>
          <w:b w:val="0"/>
        </w:rPr>
      </w:pPr>
      <w:r w:rsidRPr="00CC7DCD">
        <w:rPr>
          <w:b w:val="0"/>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составили 134,8 тыс. рублей, при бюджетных назначениях 973,7 тыс. рублей. В 2017 году в собственности Амурской области находились акции (доли) 11 хозяйственных обществ. </w:t>
      </w:r>
      <w:r w:rsidRPr="00CC7DCD">
        <w:rPr>
          <w:b w:val="0"/>
        </w:rPr>
        <w:t xml:space="preserve">По итогам работы за 2016 год 7 хозяйственных </w:t>
      </w:r>
      <w:r w:rsidRPr="00CC7DCD">
        <w:rPr>
          <w:b w:val="0"/>
        </w:rPr>
        <w:lastRenderedPageBreak/>
        <w:t>обществ получили прибыль, из них общими собраниями акционеров 3 общества приняли решения о выплате дивидендов (ОАО «Амурский крестьянский центр» - 12,2 тыс. рублей, «Агентство кредитных гарантий АПК» - 839,0 тыс. рублей, О</w:t>
      </w:r>
      <w:r w:rsidR="004D1C64">
        <w:rPr>
          <w:b w:val="0"/>
        </w:rPr>
        <w:t>АО «Мост» - 122,5 тыс. рублей);</w:t>
      </w:r>
    </w:p>
    <w:p w:rsidR="00CC7DCD" w:rsidRPr="00CC7DCD" w:rsidRDefault="00CC7DCD" w:rsidP="004D1C64">
      <w:pPr>
        <w:spacing w:after="0" w:line="295" w:lineRule="auto"/>
        <w:ind w:firstLine="709"/>
        <w:jc w:val="both"/>
        <w:rPr>
          <w:rFonts w:ascii="Times New Roman" w:hAnsi="Times New Roman" w:cs="Times New Roman"/>
          <w:sz w:val="24"/>
          <w:szCs w:val="24"/>
        </w:rPr>
      </w:pPr>
      <w:r w:rsidRPr="00CC7DCD">
        <w:rPr>
          <w:rFonts w:ascii="Times New Roman" w:hAnsi="Times New Roman" w:cs="Times New Roman"/>
          <w:sz w:val="24"/>
          <w:szCs w:val="24"/>
        </w:rPr>
        <w:t>-проценты, полученные от предоставления бюджетных кредитов внутри страны, составили 2485,7 тыс. рублей, при утвержденных назначениях 2535,6 тыс. рублей;</w:t>
      </w:r>
    </w:p>
    <w:p w:rsidR="00CC7DCD" w:rsidRPr="00CC7DCD" w:rsidRDefault="00CC7DCD" w:rsidP="004D1C64">
      <w:pPr>
        <w:spacing w:after="0" w:line="295" w:lineRule="auto"/>
        <w:ind w:firstLine="709"/>
        <w:jc w:val="both"/>
        <w:rPr>
          <w:rFonts w:ascii="Times New Roman" w:hAnsi="Times New Roman" w:cs="Times New Roman"/>
          <w:bCs/>
          <w:iCs/>
          <w:sz w:val="24"/>
          <w:szCs w:val="24"/>
        </w:rPr>
      </w:pPr>
      <w:r w:rsidRPr="00CC7DCD">
        <w:rPr>
          <w:rFonts w:ascii="Times New Roman" w:hAnsi="Times New Roman" w:cs="Times New Roman"/>
          <w:sz w:val="24"/>
          <w:szCs w:val="24"/>
        </w:rPr>
        <w:t>-</w:t>
      </w:r>
      <w:r w:rsidRPr="00CC7DCD">
        <w:rPr>
          <w:rFonts w:ascii="Times New Roman" w:hAnsi="Times New Roman" w:cs="Times New Roman"/>
          <w:bCs/>
          <w:iCs/>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CC7DCD">
        <w:rPr>
          <w:rFonts w:ascii="Times New Roman" w:hAnsi="Times New Roman" w:cs="Times New Roman"/>
          <w:sz w:val="24"/>
          <w:szCs w:val="24"/>
        </w:rPr>
        <w:t>составили 95343,6 тыс. рублей, при утвержденных бюджетных назначениях 84465,6 тыс. рублей. Доля указанных доходов в доходах от использования имущества, находящегося в государственной и муниципальной собственности, составила 92,8 процента;</w:t>
      </w:r>
    </w:p>
    <w:p w:rsidR="00CC7DCD" w:rsidRPr="00CC7DCD" w:rsidRDefault="00CC7DCD" w:rsidP="004D1C64">
      <w:pPr>
        <w:spacing w:after="0" w:line="295" w:lineRule="auto"/>
        <w:ind w:firstLine="709"/>
        <w:jc w:val="both"/>
        <w:rPr>
          <w:rFonts w:ascii="Times New Roman" w:hAnsi="Times New Roman" w:cs="Times New Roman"/>
          <w:sz w:val="24"/>
          <w:szCs w:val="24"/>
        </w:rPr>
      </w:pPr>
      <w:r w:rsidRPr="00CC7DCD">
        <w:rPr>
          <w:rFonts w:ascii="Times New Roman" w:hAnsi="Times New Roman" w:cs="Times New Roman"/>
          <w:bCs/>
          <w:iCs/>
          <w:sz w:val="24"/>
          <w:szCs w:val="24"/>
        </w:rPr>
        <w:t xml:space="preserve">-платежи от государственных и муниципальных унитарных предприятий, </w:t>
      </w:r>
      <w:r w:rsidRPr="00CC7DCD">
        <w:rPr>
          <w:rFonts w:ascii="Times New Roman" w:hAnsi="Times New Roman" w:cs="Times New Roman"/>
          <w:sz w:val="24"/>
          <w:szCs w:val="24"/>
        </w:rPr>
        <w:t>составили 4606,2 тыс. рублей, при утвержденных бюджетных назначениях 4606,2 тыс. рублей;</w:t>
      </w:r>
    </w:p>
    <w:p w:rsidR="00CC7DCD" w:rsidRPr="00CC7DCD" w:rsidRDefault="00CC7DCD" w:rsidP="004D1C64">
      <w:pPr>
        <w:spacing w:after="0" w:line="295" w:lineRule="auto"/>
        <w:ind w:firstLine="709"/>
        <w:jc w:val="both"/>
        <w:rPr>
          <w:rFonts w:ascii="Times New Roman" w:hAnsi="Times New Roman" w:cs="Times New Roman"/>
          <w:sz w:val="24"/>
          <w:szCs w:val="24"/>
        </w:rPr>
      </w:pPr>
      <w:r w:rsidRPr="00CC7DC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составила 56,6 тыс. рублей, при утвержденных бюджетных назначениях 67,9 тыс. рублей;</w:t>
      </w:r>
    </w:p>
    <w:p w:rsidR="00CC7DCD" w:rsidRPr="00CC7DCD" w:rsidRDefault="00CC7DCD" w:rsidP="004D1C64">
      <w:pPr>
        <w:spacing w:after="0" w:line="295" w:lineRule="auto"/>
        <w:ind w:firstLine="709"/>
        <w:jc w:val="both"/>
        <w:rPr>
          <w:rFonts w:ascii="Times New Roman" w:hAnsi="Times New Roman" w:cs="Times New Roman"/>
          <w:bCs/>
          <w:iCs/>
          <w:sz w:val="24"/>
          <w:szCs w:val="24"/>
        </w:rPr>
      </w:pPr>
      <w:r w:rsidRPr="00CC7DCD">
        <w:rPr>
          <w:rFonts w:ascii="Times New Roman" w:hAnsi="Times New Roman" w:cs="Times New Roman"/>
          <w:bCs/>
          <w:iCs/>
          <w:sz w:val="24"/>
          <w:szCs w:val="24"/>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CC7DCD">
        <w:rPr>
          <w:rFonts w:ascii="Times New Roman" w:hAnsi="Times New Roman" w:cs="Times New Roman"/>
          <w:sz w:val="24"/>
          <w:szCs w:val="24"/>
        </w:rPr>
        <w:t>составили 119,0 тыс. рублей, при утвержденных бюджетных назначениях 119,0 тыс. рублей.</w:t>
      </w:r>
    </w:p>
    <w:p w:rsidR="00CC7DCD" w:rsidRDefault="00CC7DCD" w:rsidP="004D1C64">
      <w:pPr>
        <w:spacing w:after="0" w:line="295" w:lineRule="auto"/>
        <w:ind w:firstLine="709"/>
        <w:jc w:val="both"/>
        <w:rPr>
          <w:rFonts w:ascii="Times New Roman" w:hAnsi="Times New Roman" w:cs="Times New Roman"/>
          <w:sz w:val="24"/>
          <w:szCs w:val="24"/>
        </w:rPr>
      </w:pPr>
      <w:r w:rsidRPr="004009FD">
        <w:rPr>
          <w:rFonts w:ascii="Times New Roman" w:hAnsi="Times New Roman" w:cs="Times New Roman"/>
          <w:sz w:val="24"/>
          <w:szCs w:val="24"/>
        </w:rPr>
        <w:t>По сравнению с поступлениями 201</w:t>
      </w:r>
      <w:r>
        <w:rPr>
          <w:rFonts w:ascii="Times New Roman" w:hAnsi="Times New Roman" w:cs="Times New Roman"/>
          <w:sz w:val="24"/>
          <w:szCs w:val="24"/>
        </w:rPr>
        <w:t>6</w:t>
      </w:r>
      <w:r w:rsidRPr="004009FD">
        <w:rPr>
          <w:rFonts w:ascii="Times New Roman" w:hAnsi="Times New Roman" w:cs="Times New Roman"/>
          <w:sz w:val="24"/>
          <w:szCs w:val="24"/>
        </w:rPr>
        <w:t xml:space="preserve"> года в 201</w:t>
      </w:r>
      <w:r>
        <w:rPr>
          <w:rFonts w:ascii="Times New Roman" w:hAnsi="Times New Roman" w:cs="Times New Roman"/>
          <w:sz w:val="24"/>
          <w:szCs w:val="24"/>
        </w:rPr>
        <w:t>7</w:t>
      </w:r>
      <w:r w:rsidRPr="004009FD">
        <w:rPr>
          <w:rFonts w:ascii="Times New Roman" w:hAnsi="Times New Roman" w:cs="Times New Roman"/>
          <w:sz w:val="24"/>
          <w:szCs w:val="24"/>
        </w:rPr>
        <w:t xml:space="preserve"> году наблюдается </w:t>
      </w:r>
      <w:r>
        <w:rPr>
          <w:rFonts w:ascii="Times New Roman" w:hAnsi="Times New Roman" w:cs="Times New Roman"/>
          <w:sz w:val="24"/>
          <w:szCs w:val="24"/>
        </w:rPr>
        <w:t>снижение</w:t>
      </w:r>
      <w:r w:rsidRPr="004009FD">
        <w:rPr>
          <w:rFonts w:ascii="Times New Roman" w:hAnsi="Times New Roman" w:cs="Times New Roman"/>
          <w:sz w:val="24"/>
          <w:szCs w:val="24"/>
        </w:rPr>
        <w:t xml:space="preserve"> объема поступлений </w:t>
      </w:r>
      <w:r>
        <w:rPr>
          <w:rFonts w:ascii="Times New Roman" w:hAnsi="Times New Roman" w:cs="Times New Roman"/>
          <w:sz w:val="24"/>
          <w:szCs w:val="24"/>
        </w:rPr>
        <w:t>д</w:t>
      </w:r>
      <w:r w:rsidRPr="00F6592A">
        <w:rPr>
          <w:rFonts w:ascii="Times New Roman" w:hAnsi="Times New Roman" w:cs="Times New Roman"/>
          <w:sz w:val="24"/>
          <w:szCs w:val="24"/>
        </w:rPr>
        <w:t>оход</w:t>
      </w:r>
      <w:r>
        <w:rPr>
          <w:rFonts w:ascii="Times New Roman" w:hAnsi="Times New Roman" w:cs="Times New Roman"/>
          <w:sz w:val="24"/>
          <w:szCs w:val="24"/>
        </w:rPr>
        <w:t>ов</w:t>
      </w:r>
      <w:r w:rsidRPr="00F6592A">
        <w:rPr>
          <w:rFonts w:ascii="Times New Roman" w:hAnsi="Times New Roman" w:cs="Times New Roman"/>
          <w:sz w:val="24"/>
          <w:szCs w:val="24"/>
        </w:rPr>
        <w:t xml:space="preserve"> от использования имущества</w:t>
      </w:r>
      <w:r w:rsidRPr="004009FD">
        <w:rPr>
          <w:rFonts w:ascii="Times New Roman" w:hAnsi="Times New Roman" w:cs="Times New Roman"/>
          <w:sz w:val="24"/>
          <w:szCs w:val="24"/>
        </w:rPr>
        <w:t>, находящегося в государственной собственности</w:t>
      </w:r>
      <w:r>
        <w:rPr>
          <w:rFonts w:ascii="Times New Roman" w:hAnsi="Times New Roman" w:cs="Times New Roman"/>
          <w:sz w:val="24"/>
          <w:szCs w:val="24"/>
        </w:rPr>
        <w:t xml:space="preserve">, </w:t>
      </w:r>
      <w:r w:rsidRPr="004009FD">
        <w:rPr>
          <w:rFonts w:ascii="Times New Roman" w:hAnsi="Times New Roman" w:cs="Times New Roman"/>
          <w:sz w:val="24"/>
          <w:szCs w:val="24"/>
        </w:rPr>
        <w:t xml:space="preserve">на </w:t>
      </w:r>
      <w:r>
        <w:rPr>
          <w:rFonts w:ascii="Times New Roman" w:hAnsi="Times New Roman" w:cs="Times New Roman"/>
          <w:sz w:val="24"/>
          <w:szCs w:val="24"/>
        </w:rPr>
        <w:t>14757,0</w:t>
      </w:r>
      <w:r w:rsidRPr="004009FD">
        <w:rPr>
          <w:rFonts w:ascii="Times New Roman" w:hAnsi="Times New Roman" w:cs="Times New Roman"/>
          <w:sz w:val="24"/>
          <w:szCs w:val="24"/>
        </w:rPr>
        <w:t xml:space="preserve"> тыс. рублей, или 1</w:t>
      </w:r>
      <w:r>
        <w:rPr>
          <w:rFonts w:ascii="Times New Roman" w:hAnsi="Times New Roman" w:cs="Times New Roman"/>
          <w:sz w:val="24"/>
          <w:szCs w:val="24"/>
        </w:rPr>
        <w:t>2</w:t>
      </w:r>
      <w:r w:rsidRPr="004009FD">
        <w:rPr>
          <w:rFonts w:ascii="Times New Roman" w:hAnsi="Times New Roman" w:cs="Times New Roman"/>
          <w:sz w:val="24"/>
          <w:szCs w:val="24"/>
        </w:rPr>
        <w:t>,</w:t>
      </w:r>
      <w:r>
        <w:rPr>
          <w:rFonts w:ascii="Times New Roman" w:hAnsi="Times New Roman" w:cs="Times New Roman"/>
          <w:sz w:val="24"/>
          <w:szCs w:val="24"/>
        </w:rPr>
        <w:t>6</w:t>
      </w:r>
      <w:r w:rsidRPr="004009FD">
        <w:rPr>
          <w:rFonts w:ascii="Times New Roman" w:hAnsi="Times New Roman" w:cs="Times New Roman"/>
          <w:sz w:val="24"/>
          <w:szCs w:val="24"/>
        </w:rPr>
        <w:t xml:space="preserve"> процента. </w:t>
      </w:r>
      <w:r w:rsidRPr="004009FD">
        <w:rPr>
          <w:rFonts w:ascii="Times New Roman" w:eastAsia="Times New Roman" w:hAnsi="Times New Roman" w:cs="Times New Roman"/>
          <w:sz w:val="24"/>
          <w:szCs w:val="24"/>
          <w:lang w:eastAsia="ru-RU"/>
        </w:rPr>
        <w:t xml:space="preserve">Уточненные плановые назначения </w:t>
      </w:r>
      <w:r>
        <w:rPr>
          <w:rFonts w:ascii="Times New Roman" w:eastAsia="Times New Roman" w:hAnsi="Times New Roman" w:cs="Times New Roman"/>
          <w:sz w:val="24"/>
          <w:szCs w:val="24"/>
          <w:lang w:eastAsia="ru-RU"/>
        </w:rPr>
        <w:t>уменьшены</w:t>
      </w:r>
      <w:r w:rsidRPr="004009FD">
        <w:rPr>
          <w:rFonts w:ascii="Times New Roman" w:eastAsia="Times New Roman" w:hAnsi="Times New Roman" w:cs="Times New Roman"/>
          <w:sz w:val="24"/>
          <w:szCs w:val="24"/>
          <w:lang w:eastAsia="ru-RU"/>
        </w:rPr>
        <w:t xml:space="preserve"> по сравнению с первоначальными плановыми назначениями на </w:t>
      </w:r>
      <w:r>
        <w:rPr>
          <w:rFonts w:ascii="Times New Roman" w:eastAsia="Times New Roman" w:hAnsi="Times New Roman" w:cs="Times New Roman"/>
          <w:sz w:val="24"/>
          <w:szCs w:val="24"/>
          <w:lang w:eastAsia="ru-RU"/>
        </w:rPr>
        <w:t>2823,7</w:t>
      </w:r>
      <w:r w:rsidRPr="004009FD">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3,0</w:t>
      </w:r>
      <w:r w:rsidRPr="004009FD">
        <w:rPr>
          <w:rFonts w:ascii="Times New Roman" w:eastAsia="Times New Roman" w:hAnsi="Times New Roman" w:cs="Times New Roman"/>
          <w:sz w:val="24"/>
          <w:szCs w:val="24"/>
          <w:lang w:eastAsia="ru-RU"/>
        </w:rPr>
        <w:t xml:space="preserve"> процента. </w:t>
      </w:r>
      <w:r w:rsidRPr="004009FD">
        <w:rPr>
          <w:rFonts w:ascii="Times New Roman" w:hAnsi="Times New Roman" w:cs="Times New Roman"/>
          <w:sz w:val="24"/>
          <w:szCs w:val="24"/>
        </w:rPr>
        <w:t>Удельный вес доходов от использования имущества, находящегося в государственной собственности, в неналоговых доходах областного бюджета в 201</w:t>
      </w:r>
      <w:r>
        <w:rPr>
          <w:rFonts w:ascii="Times New Roman" w:hAnsi="Times New Roman" w:cs="Times New Roman"/>
          <w:sz w:val="24"/>
          <w:szCs w:val="24"/>
        </w:rPr>
        <w:t>7</w:t>
      </w:r>
      <w:r w:rsidRPr="004009FD">
        <w:rPr>
          <w:rFonts w:ascii="Times New Roman" w:hAnsi="Times New Roman" w:cs="Times New Roman"/>
          <w:sz w:val="24"/>
          <w:szCs w:val="24"/>
        </w:rPr>
        <w:t xml:space="preserve"> году составил </w:t>
      </w:r>
      <w:r>
        <w:rPr>
          <w:rFonts w:ascii="Times New Roman" w:hAnsi="Times New Roman" w:cs="Times New Roman"/>
          <w:sz w:val="24"/>
          <w:szCs w:val="24"/>
        </w:rPr>
        <w:t>6,3</w:t>
      </w:r>
      <w:r w:rsidRPr="004009FD">
        <w:rPr>
          <w:rFonts w:ascii="Times New Roman" w:hAnsi="Times New Roman" w:cs="Times New Roman"/>
          <w:sz w:val="24"/>
          <w:szCs w:val="24"/>
        </w:rPr>
        <w:t xml:space="preserve"> процента.</w:t>
      </w:r>
    </w:p>
    <w:p w:rsidR="009C45F8" w:rsidRDefault="009C45F8" w:rsidP="004D1C64">
      <w:pPr>
        <w:tabs>
          <w:tab w:val="left" w:pos="2700"/>
        </w:tabs>
        <w:spacing w:after="0" w:line="295"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Платежи при пользовании природными ресурсами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исполнены в </w:t>
      </w:r>
      <w:r w:rsidRPr="001A299F">
        <w:rPr>
          <w:rFonts w:ascii="Times New Roman" w:hAnsi="Times New Roman" w:cs="Times New Roman"/>
          <w:sz w:val="24"/>
          <w:szCs w:val="24"/>
        </w:rPr>
        <w:br/>
        <w:t xml:space="preserve">объеме </w:t>
      </w:r>
      <w:r>
        <w:rPr>
          <w:rFonts w:ascii="Times New Roman" w:hAnsi="Times New Roman" w:cs="Times New Roman"/>
          <w:sz w:val="24"/>
          <w:szCs w:val="24"/>
        </w:rPr>
        <w:t>230616,0</w:t>
      </w:r>
      <w:r w:rsidRPr="001A299F">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212688,4</w:t>
      </w:r>
      <w:r w:rsidRPr="001A299F">
        <w:rPr>
          <w:rFonts w:ascii="Times New Roman" w:hAnsi="Times New Roman" w:cs="Times New Roman"/>
          <w:sz w:val="24"/>
          <w:szCs w:val="24"/>
        </w:rPr>
        <w:t xml:space="preserve"> тыс. рублей, или </w:t>
      </w:r>
      <w:r w:rsidRPr="001A299F">
        <w:rPr>
          <w:rFonts w:ascii="Times New Roman" w:hAnsi="Times New Roman" w:cs="Times New Roman"/>
          <w:sz w:val="24"/>
          <w:szCs w:val="24"/>
        </w:rPr>
        <w:br/>
        <w:t>10</w:t>
      </w:r>
      <w:r>
        <w:rPr>
          <w:rFonts w:ascii="Times New Roman" w:hAnsi="Times New Roman" w:cs="Times New Roman"/>
          <w:sz w:val="24"/>
          <w:szCs w:val="24"/>
        </w:rPr>
        <w:t>8</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процента плановых назначений. Наибольший объем составили поступления платы за использование лесов – </w:t>
      </w:r>
      <w:r>
        <w:rPr>
          <w:rFonts w:ascii="Times New Roman" w:hAnsi="Times New Roman" w:cs="Times New Roman"/>
          <w:sz w:val="24"/>
          <w:szCs w:val="24"/>
        </w:rPr>
        <w:t>132696,0</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 (плановые назначения – </w:t>
      </w:r>
      <w:r>
        <w:rPr>
          <w:rFonts w:ascii="Times New Roman" w:hAnsi="Times New Roman" w:cs="Times New Roman"/>
          <w:sz w:val="24"/>
          <w:szCs w:val="24"/>
        </w:rPr>
        <w:t>121592,2</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1A299F">
        <w:rPr>
          <w:rFonts w:ascii="Times New Roman" w:hAnsi="Times New Roman" w:cs="Times New Roman"/>
          <w:sz w:val="24"/>
          <w:szCs w:val="24"/>
        </w:rPr>
        <w:t xml:space="preserve"> </w:t>
      </w:r>
      <w:r>
        <w:rPr>
          <w:rFonts w:ascii="Times New Roman" w:hAnsi="Times New Roman" w:cs="Times New Roman"/>
          <w:sz w:val="24"/>
          <w:szCs w:val="24"/>
        </w:rPr>
        <w:t>П</w:t>
      </w:r>
      <w:r w:rsidRPr="001A299F">
        <w:rPr>
          <w:rFonts w:ascii="Times New Roman" w:hAnsi="Times New Roman" w:cs="Times New Roman"/>
          <w:sz w:val="24"/>
          <w:szCs w:val="24"/>
        </w:rPr>
        <w:t>латеж</w:t>
      </w:r>
      <w:r>
        <w:rPr>
          <w:rFonts w:ascii="Times New Roman" w:hAnsi="Times New Roman" w:cs="Times New Roman"/>
          <w:sz w:val="24"/>
          <w:szCs w:val="24"/>
        </w:rPr>
        <w:t>и</w:t>
      </w:r>
      <w:r w:rsidRPr="001A299F">
        <w:rPr>
          <w:rFonts w:ascii="Times New Roman" w:hAnsi="Times New Roman" w:cs="Times New Roman"/>
          <w:sz w:val="24"/>
          <w:szCs w:val="24"/>
        </w:rPr>
        <w:t xml:space="preserve"> при пользовании недрами </w:t>
      </w:r>
      <w:r>
        <w:rPr>
          <w:rFonts w:ascii="Times New Roman" w:hAnsi="Times New Roman" w:cs="Times New Roman"/>
          <w:sz w:val="24"/>
          <w:szCs w:val="24"/>
        </w:rPr>
        <w:t xml:space="preserve"> поступили в объеме 58642,9 </w:t>
      </w:r>
      <w:r w:rsidRPr="001A299F">
        <w:rPr>
          <w:rFonts w:ascii="Times New Roman" w:hAnsi="Times New Roman" w:cs="Times New Roman"/>
          <w:sz w:val="24"/>
          <w:szCs w:val="24"/>
        </w:rPr>
        <w:t xml:space="preserve">тыс. рублей, при плановых назначениях </w:t>
      </w:r>
      <w:r>
        <w:rPr>
          <w:rFonts w:ascii="Times New Roman" w:hAnsi="Times New Roman" w:cs="Times New Roman"/>
          <w:sz w:val="24"/>
          <w:szCs w:val="24"/>
        </w:rPr>
        <w:t>52308,7</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112,1</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 xml:space="preserve"> плановых назначений, п</w:t>
      </w:r>
      <w:r w:rsidRPr="001A299F">
        <w:rPr>
          <w:rFonts w:ascii="Times New Roman" w:hAnsi="Times New Roman" w:cs="Times New Roman"/>
          <w:sz w:val="24"/>
          <w:szCs w:val="24"/>
        </w:rPr>
        <w:t>лат</w:t>
      </w:r>
      <w:r>
        <w:rPr>
          <w:rFonts w:ascii="Times New Roman" w:hAnsi="Times New Roman" w:cs="Times New Roman"/>
          <w:sz w:val="24"/>
          <w:szCs w:val="24"/>
        </w:rPr>
        <w:t>а</w:t>
      </w:r>
      <w:r w:rsidRPr="001A299F">
        <w:rPr>
          <w:rFonts w:ascii="Times New Roman" w:hAnsi="Times New Roman" w:cs="Times New Roman"/>
          <w:sz w:val="24"/>
          <w:szCs w:val="24"/>
        </w:rPr>
        <w:t xml:space="preserve"> за негативное воздействие на окружающую среду – </w:t>
      </w:r>
      <w:r>
        <w:rPr>
          <w:rFonts w:ascii="Times New Roman" w:hAnsi="Times New Roman" w:cs="Times New Roman"/>
          <w:sz w:val="24"/>
          <w:szCs w:val="24"/>
        </w:rPr>
        <w:t>39277,1</w:t>
      </w:r>
      <w:r w:rsidRPr="001A299F">
        <w:rPr>
          <w:rFonts w:ascii="Times New Roman" w:hAnsi="Times New Roman" w:cs="Times New Roman"/>
          <w:sz w:val="24"/>
          <w:szCs w:val="24"/>
        </w:rPr>
        <w:t xml:space="preserve"> тыс. рублей, при плановых назначениях – </w:t>
      </w:r>
      <w:r>
        <w:rPr>
          <w:rFonts w:ascii="Times New Roman" w:hAnsi="Times New Roman" w:cs="Times New Roman"/>
          <w:sz w:val="24"/>
          <w:szCs w:val="24"/>
        </w:rPr>
        <w:t>38787,5</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br/>
      </w:r>
      <w:r w:rsidRPr="001A299F">
        <w:rPr>
          <w:rFonts w:ascii="Times New Roman" w:hAnsi="Times New Roman" w:cs="Times New Roman"/>
          <w:sz w:val="24"/>
          <w:szCs w:val="24"/>
        </w:rPr>
        <w:t>10</w:t>
      </w:r>
      <w:r>
        <w:rPr>
          <w:rFonts w:ascii="Times New Roman" w:hAnsi="Times New Roman" w:cs="Times New Roman"/>
          <w:sz w:val="24"/>
          <w:szCs w:val="24"/>
        </w:rPr>
        <w:t>1</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w:t>
      </w:r>
      <w:r>
        <w:rPr>
          <w:rFonts w:ascii="Times New Roman" w:hAnsi="Times New Roman" w:cs="Times New Roman"/>
          <w:sz w:val="24"/>
          <w:szCs w:val="24"/>
        </w:rPr>
        <w:t>.</w:t>
      </w:r>
    </w:p>
    <w:p w:rsidR="009C45F8" w:rsidRPr="004009FD" w:rsidRDefault="009C45F8" w:rsidP="004D1C64">
      <w:pPr>
        <w:spacing w:after="0" w:line="295"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По сравнению с поступлениями 201</w:t>
      </w:r>
      <w:r>
        <w:rPr>
          <w:rFonts w:ascii="Times New Roman" w:hAnsi="Times New Roman" w:cs="Times New Roman"/>
          <w:sz w:val="24"/>
          <w:szCs w:val="24"/>
        </w:rPr>
        <w:t>6</w:t>
      </w:r>
      <w:r w:rsidRPr="001A299F">
        <w:rPr>
          <w:rFonts w:ascii="Times New Roman" w:hAnsi="Times New Roman" w:cs="Times New Roman"/>
          <w:sz w:val="24"/>
          <w:szCs w:val="24"/>
        </w:rPr>
        <w:t xml:space="preserve"> года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по платежам при пользовании природными ресурсами наблюдается </w:t>
      </w:r>
      <w:r>
        <w:rPr>
          <w:rFonts w:ascii="Times New Roman" w:hAnsi="Times New Roman" w:cs="Times New Roman"/>
          <w:sz w:val="24"/>
          <w:szCs w:val="24"/>
        </w:rPr>
        <w:t>увеличение</w:t>
      </w:r>
      <w:r w:rsidRPr="001A299F">
        <w:rPr>
          <w:rFonts w:ascii="Times New Roman" w:hAnsi="Times New Roman" w:cs="Times New Roman"/>
          <w:sz w:val="24"/>
          <w:szCs w:val="24"/>
        </w:rPr>
        <w:t xml:space="preserve"> объема поступлений на </w:t>
      </w:r>
      <w:r>
        <w:rPr>
          <w:rFonts w:ascii="Times New Roman" w:hAnsi="Times New Roman" w:cs="Times New Roman"/>
          <w:sz w:val="24"/>
          <w:szCs w:val="24"/>
        </w:rPr>
        <w:t>16830,9</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7</w:t>
      </w:r>
      <w:r w:rsidRPr="001A299F">
        <w:rPr>
          <w:rFonts w:ascii="Times New Roman" w:hAnsi="Times New Roman" w:cs="Times New Roman"/>
          <w:sz w:val="24"/>
          <w:szCs w:val="24"/>
        </w:rPr>
        <w:t>,</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w:t>
      </w:r>
      <w:r w:rsidRPr="001A299F">
        <w:rPr>
          <w:rFonts w:ascii="Times New Roman" w:eastAsia="Times New Roman" w:hAnsi="Times New Roman" w:cs="Times New Roman"/>
          <w:sz w:val="24"/>
          <w:szCs w:val="24"/>
          <w:lang w:eastAsia="ru-RU"/>
        </w:rPr>
        <w:t>Уточненные плановые назначения по платежам увеличены по сравнению с первоначальными плановыми назначениями на</w:t>
      </w:r>
      <w:r>
        <w:rPr>
          <w:rFonts w:ascii="Times New Roman" w:eastAsia="Times New Roman" w:hAnsi="Times New Roman" w:cs="Times New Roman"/>
          <w:sz w:val="24"/>
          <w:szCs w:val="24"/>
          <w:lang w:eastAsia="ru-RU"/>
        </w:rPr>
        <w:t xml:space="preserve"> 39813,9</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br/>
        <w:t>23</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процента.</w:t>
      </w:r>
      <w:r w:rsidRPr="00A42B5C">
        <w:rPr>
          <w:rFonts w:ascii="Times New Roman" w:hAnsi="Times New Roman" w:cs="Times New Roman"/>
          <w:sz w:val="24"/>
          <w:szCs w:val="24"/>
        </w:rPr>
        <w:t xml:space="preserve"> </w:t>
      </w:r>
    </w:p>
    <w:p w:rsidR="009C45F8" w:rsidRPr="001A299F" w:rsidRDefault="009C45F8" w:rsidP="009C45F8">
      <w:pPr>
        <w:tabs>
          <w:tab w:val="left" w:pos="2700"/>
        </w:tabs>
        <w:spacing w:after="0" w:line="240" w:lineRule="auto"/>
        <w:ind w:firstLine="720"/>
        <w:jc w:val="both"/>
        <w:rPr>
          <w:rFonts w:ascii="Times New Roman" w:hAnsi="Times New Roman" w:cs="Times New Roman"/>
          <w:sz w:val="24"/>
          <w:szCs w:val="24"/>
        </w:rPr>
      </w:pPr>
    </w:p>
    <w:p w:rsidR="009C45F8" w:rsidRPr="001A299F" w:rsidRDefault="009C45F8" w:rsidP="009C45F8">
      <w:pPr>
        <w:tabs>
          <w:tab w:val="left" w:pos="2700"/>
        </w:tabs>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noProof/>
          <w:sz w:val="24"/>
          <w:szCs w:val="24"/>
          <w:lang w:eastAsia="ru-RU"/>
        </w:rPr>
        <w:drawing>
          <wp:inline distT="0" distB="0" distL="0" distR="0" wp14:anchorId="445F7189" wp14:editId="1C935AD4">
            <wp:extent cx="5915025" cy="42862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C45F8" w:rsidRPr="001A299F" w:rsidRDefault="009C45F8" w:rsidP="009C45F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45F8">
        <w:rPr>
          <w:rFonts w:ascii="Times New Roman" w:eastAsia="Times New Roman" w:hAnsi="Times New Roman" w:cs="Times New Roman"/>
          <w:b/>
          <w:sz w:val="24"/>
          <w:szCs w:val="24"/>
          <w:lang w:eastAsia="ru-RU"/>
        </w:rPr>
        <w:t xml:space="preserve">Рис. 19– Структура </w:t>
      </w:r>
      <w:r w:rsidRPr="001A299F">
        <w:rPr>
          <w:rFonts w:ascii="Times New Roman" w:eastAsia="Times New Roman" w:hAnsi="Times New Roman" w:cs="Times New Roman"/>
          <w:b/>
          <w:sz w:val="24"/>
          <w:szCs w:val="24"/>
          <w:lang w:eastAsia="ru-RU"/>
        </w:rPr>
        <w:t xml:space="preserve">неналоговых доходов областного бюджета, поступивших в </w:t>
      </w:r>
      <w:r w:rsidRPr="001A299F">
        <w:rPr>
          <w:rFonts w:ascii="Times New Roman" w:eastAsia="Times New Roman" w:hAnsi="Times New Roman" w:cs="Times New Roman"/>
          <w:b/>
          <w:sz w:val="24"/>
          <w:szCs w:val="24"/>
          <w:lang w:eastAsia="ru-RU"/>
        </w:rPr>
        <w:br/>
        <w:t>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году, в процентах</w:t>
      </w:r>
    </w:p>
    <w:p w:rsidR="009C45F8" w:rsidRDefault="009C45F8" w:rsidP="009C45F8">
      <w:pPr>
        <w:tabs>
          <w:tab w:val="left" w:pos="2700"/>
        </w:tabs>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Исполнение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доходам от оказания платных услуг (работ) и компенсации затрат государства составляет </w:t>
      </w:r>
      <w:r>
        <w:rPr>
          <w:rFonts w:ascii="Times New Roman" w:hAnsi="Times New Roman" w:cs="Times New Roman"/>
          <w:sz w:val="24"/>
          <w:szCs w:val="24"/>
        </w:rPr>
        <w:t>703043,5</w:t>
      </w:r>
      <w:r w:rsidRPr="001A299F">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694522,4</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1</w:t>
      </w:r>
      <w:r w:rsidRPr="001A299F">
        <w:rPr>
          <w:rFonts w:ascii="Times New Roman" w:hAnsi="Times New Roman" w:cs="Times New Roman"/>
          <w:sz w:val="24"/>
          <w:szCs w:val="24"/>
        </w:rPr>
        <w:t>,</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 плановых назначений, что выше объема поступлений 201</w:t>
      </w:r>
      <w:r>
        <w:rPr>
          <w:rFonts w:ascii="Times New Roman" w:hAnsi="Times New Roman" w:cs="Times New Roman"/>
          <w:sz w:val="24"/>
          <w:szCs w:val="24"/>
        </w:rPr>
        <w:t>6</w:t>
      </w:r>
      <w:r w:rsidRPr="001A299F">
        <w:rPr>
          <w:rFonts w:ascii="Times New Roman" w:hAnsi="Times New Roman" w:cs="Times New Roman"/>
          <w:sz w:val="24"/>
          <w:szCs w:val="24"/>
        </w:rPr>
        <w:t xml:space="preserve"> года  на </w:t>
      </w:r>
      <w:r>
        <w:rPr>
          <w:rFonts w:ascii="Times New Roman" w:hAnsi="Times New Roman" w:cs="Times New Roman"/>
          <w:sz w:val="24"/>
          <w:szCs w:val="24"/>
        </w:rPr>
        <w:t>146463,3</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26,3 процента</w:t>
      </w:r>
      <w:r w:rsidRPr="001A299F">
        <w:rPr>
          <w:rFonts w:ascii="Times New Roman" w:hAnsi="Times New Roman" w:cs="Times New Roman"/>
          <w:sz w:val="24"/>
          <w:szCs w:val="24"/>
        </w:rPr>
        <w:t xml:space="preserve">. </w:t>
      </w:r>
      <w:r w:rsidRPr="00CD13FF">
        <w:rPr>
          <w:rFonts w:ascii="Times New Roman" w:hAnsi="Times New Roman" w:cs="Times New Roman"/>
          <w:sz w:val="24"/>
          <w:szCs w:val="24"/>
        </w:rPr>
        <w:t xml:space="preserve">Наибольший объем поступлений составляют доходы от компенсации затрат государства – </w:t>
      </w:r>
      <w:r>
        <w:rPr>
          <w:rFonts w:ascii="Times New Roman" w:hAnsi="Times New Roman" w:cs="Times New Roman"/>
          <w:sz w:val="24"/>
          <w:szCs w:val="24"/>
        </w:rPr>
        <w:t>685950,9</w:t>
      </w:r>
      <w:r w:rsidRPr="00CD13FF">
        <w:rPr>
          <w:rFonts w:ascii="Times New Roman" w:hAnsi="Times New Roman" w:cs="Times New Roman"/>
          <w:sz w:val="24"/>
          <w:szCs w:val="24"/>
        </w:rPr>
        <w:t xml:space="preserve"> тыс. рублей, из них наибольший объем приходится на доходы, поступающие в порядке возмещения расходов, понесенных в связи с эксплуатацией имущества субъектов Российской Федерации – </w:t>
      </w:r>
      <w:r>
        <w:rPr>
          <w:rFonts w:ascii="Times New Roman" w:hAnsi="Times New Roman" w:cs="Times New Roman"/>
          <w:sz w:val="24"/>
          <w:szCs w:val="24"/>
        </w:rPr>
        <w:t>604572,4</w:t>
      </w:r>
      <w:r w:rsidRPr="00CD13FF">
        <w:rPr>
          <w:rFonts w:ascii="Times New Roman" w:hAnsi="Times New Roman" w:cs="Times New Roman"/>
          <w:sz w:val="24"/>
          <w:szCs w:val="24"/>
        </w:rPr>
        <w:t xml:space="preserve"> тыс. рублей.</w:t>
      </w:r>
      <w:r>
        <w:rPr>
          <w:sz w:val="24"/>
          <w:szCs w:val="24"/>
        </w:rPr>
        <w:t xml:space="preserve"> </w:t>
      </w:r>
      <w:r w:rsidRPr="001A299F">
        <w:rPr>
          <w:rFonts w:ascii="Times New Roman" w:eastAsia="Times New Roman" w:hAnsi="Times New Roman" w:cs="Times New Roman"/>
          <w:sz w:val="24"/>
          <w:szCs w:val="24"/>
          <w:lang w:eastAsia="ru-RU"/>
        </w:rPr>
        <w:t xml:space="preserve">Уточненные плановые назначения по </w:t>
      </w:r>
      <w:r w:rsidRPr="001A299F">
        <w:rPr>
          <w:rFonts w:ascii="Times New Roman" w:hAnsi="Times New Roman" w:cs="Times New Roman"/>
          <w:sz w:val="24"/>
          <w:szCs w:val="24"/>
        </w:rPr>
        <w:t>доходам от оказания платных услуг (работ) и компенсации затрат государства</w:t>
      </w:r>
      <w:r w:rsidRPr="001A299F">
        <w:rPr>
          <w:rFonts w:ascii="Times New Roman" w:eastAsia="Times New Roman" w:hAnsi="Times New Roman" w:cs="Times New Roman"/>
          <w:sz w:val="24"/>
          <w:szCs w:val="24"/>
          <w:lang w:eastAsia="ru-RU"/>
        </w:rPr>
        <w:t xml:space="preserve"> увеличены по сравнению с первоначальными плановыми назначениями на </w:t>
      </w:r>
      <w:r>
        <w:rPr>
          <w:rFonts w:ascii="Times New Roman" w:eastAsia="Times New Roman" w:hAnsi="Times New Roman" w:cs="Times New Roman"/>
          <w:sz w:val="24"/>
          <w:szCs w:val="24"/>
          <w:lang w:eastAsia="ru-RU"/>
        </w:rPr>
        <w:t>10302,2</w:t>
      </w:r>
      <w:r w:rsidRPr="001A299F">
        <w:rPr>
          <w:rFonts w:ascii="Times New Roman" w:eastAsia="Times New Roman" w:hAnsi="Times New Roman" w:cs="Times New Roman"/>
          <w:sz w:val="24"/>
          <w:szCs w:val="24"/>
          <w:lang w:eastAsia="ru-RU"/>
        </w:rPr>
        <w:t xml:space="preserve"> тыс. рублей, или</w:t>
      </w:r>
      <w:r>
        <w:rPr>
          <w:rFonts w:ascii="Times New Roman" w:eastAsia="Times New Roman" w:hAnsi="Times New Roman" w:cs="Times New Roman"/>
          <w:sz w:val="24"/>
          <w:szCs w:val="24"/>
          <w:lang w:eastAsia="ru-RU"/>
        </w:rPr>
        <w:t xml:space="preserve"> 1,5 процента</w:t>
      </w:r>
      <w:r w:rsidRPr="001A299F">
        <w:rPr>
          <w:rFonts w:ascii="Times New Roman" w:eastAsia="Times New Roman" w:hAnsi="Times New Roman" w:cs="Times New Roman"/>
          <w:sz w:val="24"/>
          <w:szCs w:val="24"/>
          <w:lang w:eastAsia="ru-RU"/>
        </w:rPr>
        <w:t>.</w:t>
      </w:r>
    </w:p>
    <w:p w:rsidR="009C45F8" w:rsidRDefault="009C45F8" w:rsidP="00CC7DCD">
      <w:pPr>
        <w:spacing w:after="0" w:line="240" w:lineRule="auto"/>
        <w:ind w:firstLine="709"/>
        <w:jc w:val="both"/>
        <w:rPr>
          <w:rFonts w:ascii="Times New Roman" w:eastAsia="Times New Roman" w:hAnsi="Times New Roman" w:cs="Times New Roman"/>
          <w:sz w:val="24"/>
          <w:szCs w:val="24"/>
          <w:lang w:eastAsia="ru-RU"/>
        </w:rPr>
      </w:pPr>
      <w:proofErr w:type="gramStart"/>
      <w:r w:rsidRPr="00F2588E">
        <w:rPr>
          <w:rFonts w:ascii="Times New Roman" w:hAnsi="Times New Roman" w:cs="Times New Roman"/>
          <w:sz w:val="24"/>
          <w:szCs w:val="24"/>
        </w:rPr>
        <w:t>Доходы от продажи материальных и нематериальных активов поступили в областной бюджет в 201</w:t>
      </w:r>
      <w:r>
        <w:rPr>
          <w:rFonts w:ascii="Times New Roman" w:hAnsi="Times New Roman" w:cs="Times New Roman"/>
          <w:sz w:val="24"/>
          <w:szCs w:val="24"/>
        </w:rPr>
        <w:t>7</w:t>
      </w:r>
      <w:r w:rsidRPr="00F2588E">
        <w:rPr>
          <w:rFonts w:ascii="Times New Roman" w:hAnsi="Times New Roman" w:cs="Times New Roman"/>
          <w:sz w:val="24"/>
          <w:szCs w:val="24"/>
        </w:rPr>
        <w:t xml:space="preserve"> году в объеме </w:t>
      </w:r>
      <w:r>
        <w:rPr>
          <w:rFonts w:ascii="Times New Roman" w:hAnsi="Times New Roman" w:cs="Times New Roman"/>
          <w:sz w:val="24"/>
          <w:szCs w:val="24"/>
        </w:rPr>
        <w:t xml:space="preserve">125873,4 </w:t>
      </w:r>
      <w:r w:rsidRPr="00F2588E">
        <w:rPr>
          <w:rFonts w:ascii="Times New Roman" w:hAnsi="Times New Roman" w:cs="Times New Roman"/>
          <w:sz w:val="24"/>
          <w:szCs w:val="24"/>
        </w:rPr>
        <w:t xml:space="preserve">тыс. рублей при плановых назначениях </w:t>
      </w:r>
      <w:r>
        <w:rPr>
          <w:rFonts w:ascii="Times New Roman" w:hAnsi="Times New Roman" w:cs="Times New Roman"/>
          <w:sz w:val="24"/>
          <w:szCs w:val="24"/>
        </w:rPr>
        <w:t>125079,5</w:t>
      </w:r>
      <w:r w:rsidRPr="00F2588E">
        <w:rPr>
          <w:rFonts w:ascii="Times New Roman" w:hAnsi="Times New Roman" w:cs="Times New Roman"/>
          <w:sz w:val="24"/>
          <w:szCs w:val="24"/>
        </w:rPr>
        <w:t xml:space="preserve"> тыс. рублей</w:t>
      </w:r>
      <w:r>
        <w:rPr>
          <w:rFonts w:ascii="Times New Roman" w:hAnsi="Times New Roman" w:cs="Times New Roman"/>
          <w:sz w:val="24"/>
          <w:szCs w:val="24"/>
        </w:rPr>
        <w:t xml:space="preserve"> (уровень исполнения – 10</w:t>
      </w:r>
      <w:r w:rsidR="005A1DBE">
        <w:rPr>
          <w:rFonts w:ascii="Times New Roman" w:hAnsi="Times New Roman" w:cs="Times New Roman"/>
          <w:sz w:val="24"/>
          <w:szCs w:val="24"/>
        </w:rPr>
        <w:t>0</w:t>
      </w:r>
      <w:r>
        <w:rPr>
          <w:rFonts w:ascii="Times New Roman" w:hAnsi="Times New Roman" w:cs="Times New Roman"/>
          <w:sz w:val="24"/>
          <w:szCs w:val="24"/>
        </w:rPr>
        <w:t>,</w:t>
      </w:r>
      <w:r w:rsidR="005A1DBE">
        <w:rPr>
          <w:rFonts w:ascii="Times New Roman" w:hAnsi="Times New Roman" w:cs="Times New Roman"/>
          <w:sz w:val="24"/>
          <w:szCs w:val="24"/>
        </w:rPr>
        <w:t>6</w:t>
      </w:r>
      <w:r>
        <w:rPr>
          <w:rFonts w:ascii="Times New Roman" w:hAnsi="Times New Roman" w:cs="Times New Roman"/>
          <w:sz w:val="24"/>
          <w:szCs w:val="24"/>
        </w:rPr>
        <w:t xml:space="preserve"> процента плановых назначений)</w:t>
      </w:r>
      <w:r w:rsidRPr="00F2588E">
        <w:rPr>
          <w:rFonts w:ascii="Times New Roman" w:hAnsi="Times New Roman" w:cs="Times New Roman"/>
          <w:sz w:val="24"/>
          <w:szCs w:val="24"/>
        </w:rPr>
        <w:t xml:space="preserve">, в том числе </w:t>
      </w:r>
      <w:r w:rsidR="00CC7DCD" w:rsidRPr="00CC7DCD">
        <w:rPr>
          <w:rFonts w:ascii="Times New Roman" w:hAnsi="Times New Roman" w:cs="Times New Roman"/>
          <w:sz w:val="24"/>
          <w:szCs w:val="24"/>
        </w:rPr>
        <w:t>доходы от продажи земельных участков, находящихся в государственной собственности – 31</w:t>
      </w:r>
      <w:r w:rsidR="005A1DBE">
        <w:rPr>
          <w:rFonts w:ascii="Times New Roman" w:hAnsi="Times New Roman" w:cs="Times New Roman"/>
          <w:sz w:val="24"/>
          <w:szCs w:val="24"/>
        </w:rPr>
        <w:t>446</w:t>
      </w:r>
      <w:r w:rsidR="00CC7DCD" w:rsidRPr="00CC7DCD">
        <w:rPr>
          <w:rFonts w:ascii="Times New Roman" w:hAnsi="Times New Roman" w:cs="Times New Roman"/>
          <w:sz w:val="24"/>
          <w:szCs w:val="24"/>
        </w:rPr>
        <w:t>,</w:t>
      </w:r>
      <w:r w:rsidR="005A1DBE">
        <w:rPr>
          <w:rFonts w:ascii="Times New Roman" w:hAnsi="Times New Roman" w:cs="Times New Roman"/>
          <w:sz w:val="24"/>
          <w:szCs w:val="24"/>
        </w:rPr>
        <w:t>9</w:t>
      </w:r>
      <w:r w:rsidR="00CC7DCD" w:rsidRPr="00CC7DCD">
        <w:rPr>
          <w:rFonts w:ascii="Times New Roman" w:hAnsi="Times New Roman" w:cs="Times New Roman"/>
          <w:sz w:val="24"/>
          <w:szCs w:val="24"/>
        </w:rPr>
        <w:t xml:space="preserve"> тыс. рублей</w:t>
      </w:r>
      <w:r w:rsidR="00CC7DCD">
        <w:rPr>
          <w:rFonts w:ascii="Times New Roman" w:hAnsi="Times New Roman" w:cs="Times New Roman"/>
          <w:sz w:val="24"/>
          <w:szCs w:val="24"/>
        </w:rPr>
        <w:t xml:space="preserve">, </w:t>
      </w:r>
      <w:r w:rsidR="00CC7DCD" w:rsidRPr="00CC7DCD">
        <w:rPr>
          <w:rFonts w:ascii="Times New Roman" w:hAnsi="Times New Roman" w:cs="Times New Roman"/>
          <w:sz w:val="24"/>
          <w:szCs w:val="24"/>
        </w:rPr>
        <w:t>доходы от реализации имущества, включенного в прогнозный план (программу) приватизации областного имущества – 87064,2 тыс</w:t>
      </w:r>
      <w:proofErr w:type="gramEnd"/>
      <w:r w:rsidR="00CC7DCD" w:rsidRPr="00CC7DCD">
        <w:rPr>
          <w:rFonts w:ascii="Times New Roman" w:hAnsi="Times New Roman" w:cs="Times New Roman"/>
          <w:sz w:val="24"/>
          <w:szCs w:val="24"/>
        </w:rPr>
        <w:t>. рублей</w:t>
      </w:r>
      <w:r w:rsidR="00CC7DCD">
        <w:rPr>
          <w:rFonts w:ascii="Times New Roman" w:hAnsi="Times New Roman" w:cs="Times New Roman"/>
          <w:sz w:val="24"/>
          <w:szCs w:val="24"/>
        </w:rPr>
        <w:t xml:space="preserve">, </w:t>
      </w:r>
      <w:r w:rsidR="00CC7DCD" w:rsidRPr="00CC7DCD">
        <w:rPr>
          <w:rFonts w:ascii="Times New Roman" w:hAnsi="Times New Roman" w:cs="Times New Roman"/>
          <w:sz w:val="24"/>
          <w:szCs w:val="24"/>
        </w:rPr>
        <w:t xml:space="preserve">доходы от реализации основных средств государственными бюджетными, автономными, казенными учреждениями Амурской области – </w:t>
      </w:r>
      <w:r w:rsidR="005A1DBE">
        <w:rPr>
          <w:rFonts w:ascii="Times New Roman" w:hAnsi="Times New Roman" w:cs="Times New Roman"/>
          <w:sz w:val="24"/>
          <w:szCs w:val="24"/>
        </w:rPr>
        <w:t>6756,6</w:t>
      </w:r>
      <w:r w:rsidR="00CC7DCD" w:rsidRPr="00CC7DCD">
        <w:rPr>
          <w:rFonts w:ascii="Times New Roman" w:hAnsi="Times New Roman" w:cs="Times New Roman"/>
          <w:sz w:val="24"/>
          <w:szCs w:val="24"/>
        </w:rPr>
        <w:t xml:space="preserve"> тыс. рублей.</w:t>
      </w:r>
      <w:r w:rsidR="00CC7DCD">
        <w:rPr>
          <w:rFonts w:ascii="Times New Roman" w:hAnsi="Times New Roman" w:cs="Times New Roman"/>
          <w:sz w:val="24"/>
          <w:szCs w:val="24"/>
        </w:rPr>
        <w:t xml:space="preserve"> </w:t>
      </w:r>
      <w:r w:rsidRPr="001A299F">
        <w:rPr>
          <w:rFonts w:ascii="Times New Roman" w:hAnsi="Times New Roman" w:cs="Times New Roman"/>
          <w:sz w:val="24"/>
          <w:szCs w:val="24"/>
        </w:rPr>
        <w:t>По сравнению с поступлениями 201</w:t>
      </w:r>
      <w:r>
        <w:rPr>
          <w:rFonts w:ascii="Times New Roman" w:hAnsi="Times New Roman" w:cs="Times New Roman"/>
          <w:sz w:val="24"/>
          <w:szCs w:val="24"/>
        </w:rPr>
        <w:t>6</w:t>
      </w:r>
      <w:r w:rsidRPr="001A299F">
        <w:rPr>
          <w:rFonts w:ascii="Times New Roman" w:hAnsi="Times New Roman" w:cs="Times New Roman"/>
          <w:sz w:val="24"/>
          <w:szCs w:val="24"/>
        </w:rPr>
        <w:t xml:space="preserve"> года в</w:t>
      </w:r>
      <w:r>
        <w:rPr>
          <w:rFonts w:ascii="Times New Roman" w:hAnsi="Times New Roman" w:cs="Times New Roman"/>
          <w:sz w:val="24"/>
          <w:szCs w:val="24"/>
        </w:rPr>
        <w:br/>
      </w:r>
      <w:r w:rsidRPr="001A299F">
        <w:rPr>
          <w:rFonts w:ascii="Times New Roman" w:hAnsi="Times New Roman" w:cs="Times New Roman"/>
          <w:sz w:val="24"/>
          <w:szCs w:val="24"/>
        </w:rPr>
        <w:t>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по</w:t>
      </w:r>
      <w:r w:rsidRPr="00B01118">
        <w:rPr>
          <w:rFonts w:ascii="Times New Roman" w:hAnsi="Times New Roman" w:cs="Times New Roman"/>
          <w:sz w:val="24"/>
          <w:szCs w:val="24"/>
        </w:rPr>
        <w:t xml:space="preserve"> </w:t>
      </w:r>
      <w:r>
        <w:rPr>
          <w:rFonts w:ascii="Times New Roman" w:hAnsi="Times New Roman" w:cs="Times New Roman"/>
          <w:sz w:val="24"/>
          <w:szCs w:val="24"/>
        </w:rPr>
        <w:t>д</w:t>
      </w:r>
      <w:r w:rsidRPr="00F2588E">
        <w:rPr>
          <w:rFonts w:ascii="Times New Roman" w:hAnsi="Times New Roman" w:cs="Times New Roman"/>
          <w:sz w:val="24"/>
          <w:szCs w:val="24"/>
        </w:rPr>
        <w:t>оход</w:t>
      </w:r>
      <w:r>
        <w:rPr>
          <w:rFonts w:ascii="Times New Roman" w:hAnsi="Times New Roman" w:cs="Times New Roman"/>
          <w:sz w:val="24"/>
          <w:szCs w:val="24"/>
        </w:rPr>
        <w:t>ам</w:t>
      </w:r>
      <w:r w:rsidRPr="00F2588E">
        <w:rPr>
          <w:rFonts w:ascii="Times New Roman" w:hAnsi="Times New Roman" w:cs="Times New Roman"/>
          <w:sz w:val="24"/>
          <w:szCs w:val="24"/>
        </w:rPr>
        <w:t xml:space="preserve"> от продажи материальных и нематериальных активов </w:t>
      </w:r>
      <w:r w:rsidRPr="001A299F">
        <w:rPr>
          <w:rFonts w:ascii="Times New Roman" w:hAnsi="Times New Roman" w:cs="Times New Roman"/>
          <w:sz w:val="24"/>
          <w:szCs w:val="24"/>
        </w:rPr>
        <w:t xml:space="preserve">наблюдается </w:t>
      </w:r>
      <w:r>
        <w:rPr>
          <w:rFonts w:ascii="Times New Roman" w:hAnsi="Times New Roman" w:cs="Times New Roman"/>
          <w:sz w:val="24"/>
          <w:szCs w:val="24"/>
        </w:rPr>
        <w:lastRenderedPageBreak/>
        <w:t>увеличение</w:t>
      </w:r>
      <w:r w:rsidRPr="001A299F">
        <w:rPr>
          <w:rFonts w:ascii="Times New Roman" w:hAnsi="Times New Roman" w:cs="Times New Roman"/>
          <w:sz w:val="24"/>
          <w:szCs w:val="24"/>
        </w:rPr>
        <w:t xml:space="preserve"> объема поступлений на </w:t>
      </w:r>
      <w:r>
        <w:rPr>
          <w:rFonts w:ascii="Times New Roman" w:hAnsi="Times New Roman" w:cs="Times New Roman"/>
          <w:sz w:val="24"/>
          <w:szCs w:val="24"/>
        </w:rPr>
        <w:t>100375,6</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в 4,9 раза</w:t>
      </w:r>
      <w:r w:rsidRPr="001A299F">
        <w:rPr>
          <w:rFonts w:ascii="Times New Roman" w:hAnsi="Times New Roman" w:cs="Times New Roman"/>
          <w:sz w:val="24"/>
          <w:szCs w:val="24"/>
        </w:rPr>
        <w:t>.</w:t>
      </w:r>
      <w:r>
        <w:rPr>
          <w:rFonts w:ascii="Times New Roman" w:hAnsi="Times New Roman" w:cs="Times New Roman"/>
          <w:sz w:val="24"/>
          <w:szCs w:val="24"/>
        </w:rPr>
        <w:t xml:space="preserve"> </w:t>
      </w:r>
      <w:r w:rsidRPr="001A299F">
        <w:rPr>
          <w:rFonts w:ascii="Times New Roman" w:eastAsia="Times New Roman" w:hAnsi="Times New Roman" w:cs="Times New Roman"/>
          <w:sz w:val="24"/>
          <w:szCs w:val="24"/>
          <w:lang w:eastAsia="ru-RU"/>
        </w:rPr>
        <w:t xml:space="preserve">Уточненные плановые назначения по </w:t>
      </w:r>
      <w:r w:rsidRPr="001A299F">
        <w:rPr>
          <w:rFonts w:ascii="Times New Roman" w:hAnsi="Times New Roman" w:cs="Times New Roman"/>
          <w:sz w:val="24"/>
          <w:szCs w:val="24"/>
        </w:rPr>
        <w:t xml:space="preserve">доходам </w:t>
      </w:r>
      <w:r w:rsidRPr="00F2588E">
        <w:rPr>
          <w:rFonts w:ascii="Times New Roman" w:hAnsi="Times New Roman" w:cs="Times New Roman"/>
          <w:sz w:val="24"/>
          <w:szCs w:val="24"/>
        </w:rPr>
        <w:t xml:space="preserve">от продажи материальных и нематериальных активов </w:t>
      </w:r>
      <w:r w:rsidRPr="001A299F">
        <w:rPr>
          <w:rFonts w:ascii="Times New Roman" w:eastAsia="Times New Roman" w:hAnsi="Times New Roman" w:cs="Times New Roman"/>
          <w:sz w:val="24"/>
          <w:szCs w:val="24"/>
          <w:lang w:eastAsia="ru-RU"/>
        </w:rPr>
        <w:t xml:space="preserve">увеличены по сравнению с первоначальными плановыми назначениями на </w:t>
      </w:r>
      <w:r>
        <w:rPr>
          <w:rFonts w:ascii="Times New Roman" w:eastAsia="Times New Roman" w:hAnsi="Times New Roman" w:cs="Times New Roman"/>
          <w:sz w:val="24"/>
          <w:szCs w:val="24"/>
          <w:lang w:eastAsia="ru-RU"/>
        </w:rPr>
        <w:t xml:space="preserve">100375,6 </w:t>
      </w:r>
      <w:r w:rsidRPr="001A299F">
        <w:rPr>
          <w:rFonts w:ascii="Times New Roman" w:eastAsia="Times New Roman" w:hAnsi="Times New Roman" w:cs="Times New Roman"/>
          <w:sz w:val="24"/>
          <w:szCs w:val="24"/>
          <w:lang w:eastAsia="ru-RU"/>
        </w:rPr>
        <w:t>тыс. рублей, или</w:t>
      </w:r>
      <w:r>
        <w:rPr>
          <w:rFonts w:ascii="Times New Roman" w:eastAsia="Times New Roman" w:hAnsi="Times New Roman" w:cs="Times New Roman"/>
          <w:sz w:val="24"/>
          <w:szCs w:val="24"/>
          <w:lang w:eastAsia="ru-RU"/>
        </w:rPr>
        <w:t xml:space="preserve"> в 65,9 раза</w:t>
      </w:r>
      <w:r w:rsidRPr="001A299F">
        <w:rPr>
          <w:rFonts w:ascii="Times New Roman" w:eastAsia="Times New Roman" w:hAnsi="Times New Roman" w:cs="Times New Roman"/>
          <w:sz w:val="24"/>
          <w:szCs w:val="24"/>
          <w:lang w:eastAsia="ru-RU"/>
        </w:rPr>
        <w:t>.</w:t>
      </w:r>
    </w:p>
    <w:p w:rsidR="009C45F8" w:rsidRPr="001A299F" w:rsidRDefault="009C45F8" w:rsidP="009C45F8">
      <w:pPr>
        <w:tabs>
          <w:tab w:val="left" w:pos="2700"/>
        </w:tabs>
        <w:spacing w:after="0" w:line="240" w:lineRule="auto"/>
        <w:ind w:firstLine="720"/>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Объем поступлений административных платежей и сборов в областной бюджет в </w:t>
      </w:r>
      <w:r w:rsidRPr="001A299F">
        <w:rPr>
          <w:rFonts w:ascii="Times New Roman" w:eastAsia="Times New Roman" w:hAnsi="Times New Roman" w:cs="Times New Roman"/>
          <w:sz w:val="24"/>
          <w:szCs w:val="24"/>
          <w:lang w:eastAsia="ru-RU"/>
        </w:rPr>
        <w:b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составляет </w:t>
      </w:r>
      <w:r>
        <w:rPr>
          <w:rFonts w:ascii="Times New Roman" w:eastAsia="Times New Roman" w:hAnsi="Times New Roman" w:cs="Times New Roman"/>
          <w:sz w:val="24"/>
          <w:szCs w:val="24"/>
          <w:lang w:eastAsia="ru-RU"/>
        </w:rPr>
        <w:t>4076,4</w:t>
      </w:r>
      <w:r w:rsidRPr="001A299F">
        <w:rPr>
          <w:rFonts w:ascii="Times New Roman" w:eastAsia="Times New Roman" w:hAnsi="Times New Roman" w:cs="Times New Roman"/>
          <w:sz w:val="24"/>
          <w:szCs w:val="24"/>
          <w:lang w:eastAsia="ru-RU"/>
        </w:rPr>
        <w:t xml:space="preserve"> тыс. рублей, или 1</w:t>
      </w:r>
      <w:r>
        <w:rPr>
          <w:rFonts w:ascii="Times New Roman" w:eastAsia="Times New Roman" w:hAnsi="Times New Roman" w:cs="Times New Roman"/>
          <w:sz w:val="24"/>
          <w:szCs w:val="24"/>
          <w:lang w:eastAsia="ru-RU"/>
        </w:rPr>
        <w:t>14</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 плановых назначений, что </w:t>
      </w:r>
      <w:r>
        <w:rPr>
          <w:rFonts w:ascii="Times New Roman" w:eastAsia="Times New Roman" w:hAnsi="Times New Roman" w:cs="Times New Roman"/>
          <w:sz w:val="24"/>
          <w:szCs w:val="24"/>
          <w:lang w:eastAsia="ru-RU"/>
        </w:rPr>
        <w:t xml:space="preserve">меньше </w:t>
      </w:r>
      <w:r w:rsidRPr="001A299F">
        <w:rPr>
          <w:rFonts w:ascii="Times New Roman" w:eastAsia="Times New Roman" w:hAnsi="Times New Roman" w:cs="Times New Roman"/>
          <w:sz w:val="24"/>
          <w:szCs w:val="24"/>
          <w:lang w:eastAsia="ru-RU"/>
        </w:rPr>
        <w:t>объема поступлений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122,9</w:t>
      </w:r>
      <w:r w:rsidRPr="001A299F">
        <w:rPr>
          <w:rFonts w:ascii="Times New Roman" w:eastAsia="Times New Roman" w:hAnsi="Times New Roman" w:cs="Times New Roman"/>
          <w:sz w:val="24"/>
          <w:szCs w:val="24"/>
          <w:lang w:eastAsia="ru-RU"/>
        </w:rPr>
        <w:t xml:space="preserve"> тыс. рублей. Уточненные плановые назначения по административным платежам и сборам </w:t>
      </w:r>
      <w:r>
        <w:rPr>
          <w:rFonts w:ascii="Times New Roman" w:eastAsia="Times New Roman" w:hAnsi="Times New Roman" w:cs="Times New Roman"/>
          <w:sz w:val="24"/>
          <w:szCs w:val="24"/>
          <w:lang w:eastAsia="ru-RU"/>
        </w:rPr>
        <w:t>уменьшены</w:t>
      </w:r>
      <w:r w:rsidRPr="001A299F">
        <w:rPr>
          <w:rFonts w:ascii="Times New Roman" w:eastAsia="Times New Roman" w:hAnsi="Times New Roman" w:cs="Times New Roman"/>
          <w:sz w:val="24"/>
          <w:szCs w:val="24"/>
          <w:lang w:eastAsia="ru-RU"/>
        </w:rPr>
        <w:t xml:space="preserve"> по сравнению с первоначальными плановыми назначениями на </w:t>
      </w:r>
      <w:r>
        <w:rPr>
          <w:rFonts w:ascii="Times New Roman" w:eastAsia="Times New Roman" w:hAnsi="Times New Roman" w:cs="Times New Roman"/>
          <w:sz w:val="24"/>
          <w:szCs w:val="24"/>
          <w:lang w:eastAsia="ru-RU"/>
        </w:rPr>
        <w:t>1089,8</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23,5 процента</w:t>
      </w:r>
      <w:r w:rsidRPr="001A299F">
        <w:rPr>
          <w:rFonts w:ascii="Times New Roman" w:eastAsia="Times New Roman" w:hAnsi="Times New Roman" w:cs="Times New Roman"/>
          <w:sz w:val="24"/>
          <w:szCs w:val="24"/>
          <w:lang w:eastAsia="ru-RU"/>
        </w:rPr>
        <w:t>.</w:t>
      </w:r>
    </w:p>
    <w:p w:rsidR="009C45F8" w:rsidRPr="001A299F" w:rsidRDefault="009C45F8" w:rsidP="009C45F8">
      <w:pPr>
        <w:tabs>
          <w:tab w:val="left" w:pos="2700"/>
        </w:tabs>
        <w:spacing w:after="0" w:line="240" w:lineRule="auto"/>
        <w:ind w:firstLine="720"/>
        <w:jc w:val="both"/>
        <w:rPr>
          <w:rFonts w:ascii="Times New Roman" w:hAnsi="Times New Roman" w:cs="Times New Roman"/>
          <w:sz w:val="24"/>
          <w:szCs w:val="24"/>
        </w:rPr>
      </w:pPr>
      <w:r w:rsidRPr="00BA1CA8">
        <w:rPr>
          <w:rFonts w:ascii="Times New Roman" w:hAnsi="Times New Roman" w:cs="Times New Roman"/>
          <w:sz w:val="24"/>
          <w:szCs w:val="24"/>
        </w:rPr>
        <w:t xml:space="preserve">Платежи </w:t>
      </w:r>
      <w:r w:rsidRPr="001A299F">
        <w:rPr>
          <w:rFonts w:ascii="Times New Roman" w:hAnsi="Times New Roman" w:cs="Times New Roman"/>
          <w:sz w:val="24"/>
          <w:szCs w:val="24"/>
        </w:rPr>
        <w:t>по штрафам, санкциям, возмещению ущерба поступили в областной бюджет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в объеме </w:t>
      </w:r>
      <w:r>
        <w:rPr>
          <w:rFonts w:ascii="Times New Roman" w:hAnsi="Times New Roman" w:cs="Times New Roman"/>
          <w:sz w:val="24"/>
          <w:szCs w:val="24"/>
        </w:rPr>
        <w:t>481423,9</w:t>
      </w:r>
      <w:r w:rsidRPr="001A299F">
        <w:rPr>
          <w:rFonts w:ascii="Times New Roman" w:hAnsi="Times New Roman" w:cs="Times New Roman"/>
          <w:sz w:val="24"/>
          <w:szCs w:val="24"/>
        </w:rPr>
        <w:t xml:space="preserve"> тыс. рублей, при плановых назначениях </w:t>
      </w:r>
      <w:r w:rsidRPr="001A299F">
        <w:rPr>
          <w:rFonts w:ascii="Times New Roman" w:hAnsi="Times New Roman" w:cs="Times New Roman"/>
          <w:sz w:val="24"/>
          <w:szCs w:val="24"/>
        </w:rPr>
        <w:br/>
      </w:r>
      <w:r>
        <w:rPr>
          <w:rFonts w:ascii="Times New Roman" w:hAnsi="Times New Roman" w:cs="Times New Roman"/>
          <w:sz w:val="24"/>
          <w:szCs w:val="24"/>
        </w:rPr>
        <w:t>258874,9</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или 186,0 процентов плановых назначений</w:t>
      </w:r>
      <w:r w:rsidRPr="001A299F">
        <w:rPr>
          <w:rFonts w:ascii="Times New Roman" w:hAnsi="Times New Roman" w:cs="Times New Roman"/>
          <w:sz w:val="24"/>
          <w:szCs w:val="24"/>
        </w:rPr>
        <w:t xml:space="preserve">. Наибольший объем составляют </w:t>
      </w:r>
      <w:r>
        <w:rPr>
          <w:rFonts w:ascii="Times New Roman" w:hAnsi="Times New Roman" w:cs="Times New Roman"/>
          <w:sz w:val="24"/>
          <w:szCs w:val="24"/>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 250536,8 тыс. рублей, при плановых назначениях 41000,0 тыс. рублей,  поступления  </w:t>
      </w:r>
      <w:r w:rsidRPr="001A299F">
        <w:rPr>
          <w:rFonts w:ascii="Times New Roman" w:hAnsi="Times New Roman" w:cs="Times New Roman"/>
          <w:sz w:val="24"/>
          <w:szCs w:val="24"/>
        </w:rPr>
        <w:t>денежны</w:t>
      </w:r>
      <w:r>
        <w:rPr>
          <w:rFonts w:ascii="Times New Roman" w:hAnsi="Times New Roman" w:cs="Times New Roman"/>
          <w:sz w:val="24"/>
          <w:szCs w:val="24"/>
        </w:rPr>
        <w:t>х</w:t>
      </w:r>
      <w:r w:rsidRPr="001A299F">
        <w:rPr>
          <w:rFonts w:ascii="Times New Roman" w:hAnsi="Times New Roman" w:cs="Times New Roman"/>
          <w:sz w:val="24"/>
          <w:szCs w:val="24"/>
        </w:rPr>
        <w:t xml:space="preserve"> взыскани</w:t>
      </w:r>
      <w:r>
        <w:rPr>
          <w:rFonts w:ascii="Times New Roman" w:hAnsi="Times New Roman" w:cs="Times New Roman"/>
          <w:sz w:val="24"/>
          <w:szCs w:val="24"/>
        </w:rPr>
        <w:t>й</w:t>
      </w:r>
      <w:r w:rsidRPr="001A299F">
        <w:rPr>
          <w:rFonts w:ascii="Times New Roman" w:hAnsi="Times New Roman" w:cs="Times New Roman"/>
          <w:sz w:val="24"/>
          <w:szCs w:val="24"/>
        </w:rPr>
        <w:t xml:space="preserve"> (штраф</w:t>
      </w:r>
      <w:r>
        <w:rPr>
          <w:rFonts w:ascii="Times New Roman" w:hAnsi="Times New Roman" w:cs="Times New Roman"/>
          <w:sz w:val="24"/>
          <w:szCs w:val="24"/>
        </w:rPr>
        <w:t>ов</w:t>
      </w:r>
      <w:r w:rsidRPr="001A299F">
        <w:rPr>
          <w:rFonts w:ascii="Times New Roman" w:hAnsi="Times New Roman" w:cs="Times New Roman"/>
          <w:sz w:val="24"/>
          <w:szCs w:val="24"/>
        </w:rPr>
        <w:t>)</w:t>
      </w:r>
      <w:r>
        <w:rPr>
          <w:rFonts w:ascii="Times New Roman" w:hAnsi="Times New Roman" w:cs="Times New Roman"/>
          <w:sz w:val="24"/>
          <w:szCs w:val="24"/>
        </w:rPr>
        <w:t xml:space="preserve"> за </w:t>
      </w:r>
      <w:r w:rsidRPr="001A299F">
        <w:rPr>
          <w:rFonts w:ascii="Times New Roman" w:hAnsi="Times New Roman" w:cs="Times New Roman"/>
          <w:sz w:val="24"/>
          <w:szCs w:val="24"/>
        </w:rPr>
        <w:t xml:space="preserve"> </w:t>
      </w:r>
      <w:r>
        <w:rPr>
          <w:rFonts w:ascii="Times New Roman" w:hAnsi="Times New Roman" w:cs="Times New Roman"/>
          <w:sz w:val="24"/>
          <w:szCs w:val="24"/>
        </w:rPr>
        <w:t xml:space="preserve">правонарушения в области дорожного движения </w:t>
      </w:r>
      <w:r w:rsidRPr="001A299F">
        <w:rPr>
          <w:rFonts w:ascii="Times New Roman" w:hAnsi="Times New Roman" w:cs="Times New Roman"/>
          <w:sz w:val="24"/>
          <w:szCs w:val="24"/>
        </w:rPr>
        <w:t xml:space="preserve">– </w:t>
      </w:r>
      <w:r>
        <w:rPr>
          <w:rFonts w:ascii="Times New Roman" w:hAnsi="Times New Roman" w:cs="Times New Roman"/>
          <w:sz w:val="24"/>
          <w:szCs w:val="24"/>
        </w:rPr>
        <w:t>212228,7</w:t>
      </w:r>
      <w:r w:rsidRPr="001A299F">
        <w:rPr>
          <w:rFonts w:ascii="Times New Roman" w:hAnsi="Times New Roman" w:cs="Times New Roman"/>
          <w:sz w:val="24"/>
          <w:szCs w:val="24"/>
        </w:rPr>
        <w:t xml:space="preserve"> тыс. рублей, при плановых назначениях </w:t>
      </w:r>
      <w:r>
        <w:rPr>
          <w:rFonts w:ascii="Times New Roman" w:hAnsi="Times New Roman" w:cs="Times New Roman"/>
          <w:sz w:val="24"/>
          <w:szCs w:val="24"/>
        </w:rPr>
        <w:t>204517,3</w:t>
      </w:r>
      <w:r w:rsidRPr="001A299F">
        <w:rPr>
          <w:rFonts w:ascii="Times New Roman" w:hAnsi="Times New Roman" w:cs="Times New Roman"/>
          <w:sz w:val="24"/>
          <w:szCs w:val="24"/>
        </w:rPr>
        <w:t xml:space="preserve"> тыс. рублей, или 10</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 плановых назначений.</w:t>
      </w:r>
    </w:p>
    <w:p w:rsidR="009C45F8" w:rsidRDefault="009C45F8" w:rsidP="009C45F8">
      <w:pPr>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Уточненные плановые назначения по штрафам, санкциям, возмещению ущерба увеличены по сравнению с первоначальными плановыми назначениями на </w:t>
      </w:r>
      <w:r>
        <w:rPr>
          <w:rFonts w:ascii="Times New Roman" w:eastAsia="Times New Roman" w:hAnsi="Times New Roman" w:cs="Times New Roman"/>
          <w:sz w:val="24"/>
          <w:szCs w:val="24"/>
          <w:lang w:eastAsia="ru-RU"/>
        </w:rPr>
        <w:t>21704,1</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9,2</w:t>
      </w:r>
      <w:r w:rsidRPr="001A299F">
        <w:rPr>
          <w:rFonts w:ascii="Times New Roman" w:eastAsia="Times New Roman" w:hAnsi="Times New Roman" w:cs="Times New Roman"/>
          <w:sz w:val="24"/>
          <w:szCs w:val="24"/>
          <w:lang w:eastAsia="ru-RU"/>
        </w:rPr>
        <w:t xml:space="preserve"> процента. По сравнению с 201</w:t>
      </w:r>
      <w:r>
        <w:rPr>
          <w:rFonts w:ascii="Times New Roman" w:eastAsia="Times New Roman" w:hAnsi="Times New Roman" w:cs="Times New Roman"/>
          <w:sz w:val="24"/>
          <w:szCs w:val="24"/>
          <w:lang w:eastAsia="ru-RU"/>
        </w:rPr>
        <w:t>6</w:t>
      </w:r>
      <w:r w:rsidRPr="001A299F">
        <w:rPr>
          <w:rFonts w:ascii="Times New Roman" w:eastAsia="Times New Roman" w:hAnsi="Times New Roman" w:cs="Times New Roman"/>
          <w:sz w:val="24"/>
          <w:szCs w:val="24"/>
          <w:lang w:eastAsia="ru-RU"/>
        </w:rPr>
        <w:t xml:space="preserve"> годом объем поступлений в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увеличился </w:t>
      </w:r>
      <w:r w:rsidRPr="001A299F">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213640,6</w:t>
      </w:r>
      <w:r w:rsidRPr="001A299F">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ыс. рублей, или в 1,8 раза.</w:t>
      </w:r>
    </w:p>
    <w:p w:rsidR="009C45F8" w:rsidRPr="0073338B" w:rsidRDefault="009C45F8" w:rsidP="009C45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поступлений прочих неналоговых доходов областного бюджета в 2017 году составляет 1844,7 тыс. рублей, или 117,1 процента плановых назначений.</w:t>
      </w:r>
    </w:p>
    <w:p w:rsidR="009C45F8" w:rsidRPr="001A299F" w:rsidRDefault="009C45F8" w:rsidP="009C45F8">
      <w:pPr>
        <w:spacing w:after="0" w:line="240" w:lineRule="auto"/>
        <w:ind w:firstLine="709"/>
        <w:jc w:val="both"/>
        <w:rPr>
          <w:rFonts w:ascii="Times New Roman" w:hAnsi="Times New Roman" w:cs="Times New Roman"/>
          <w:b/>
          <w:i/>
          <w:sz w:val="24"/>
          <w:szCs w:val="24"/>
        </w:rPr>
      </w:pPr>
      <w:r w:rsidRPr="001A299F">
        <w:rPr>
          <w:rFonts w:ascii="Times New Roman" w:hAnsi="Times New Roman" w:cs="Times New Roman"/>
          <w:b/>
          <w:i/>
          <w:sz w:val="24"/>
          <w:szCs w:val="24"/>
        </w:rPr>
        <w:t xml:space="preserve">Контрольно-счетная палата Амурской области отмечает, что в течение </w:t>
      </w:r>
      <w:r w:rsidRPr="001A299F">
        <w:rPr>
          <w:rFonts w:ascii="Times New Roman" w:hAnsi="Times New Roman" w:cs="Times New Roman"/>
          <w:b/>
          <w:i/>
          <w:sz w:val="24"/>
          <w:szCs w:val="24"/>
        </w:rPr>
        <w:br/>
        <w:t>201</w:t>
      </w:r>
      <w:r>
        <w:rPr>
          <w:rFonts w:ascii="Times New Roman" w:hAnsi="Times New Roman" w:cs="Times New Roman"/>
          <w:b/>
          <w:i/>
          <w:sz w:val="24"/>
          <w:szCs w:val="24"/>
        </w:rPr>
        <w:t>7</w:t>
      </w:r>
      <w:r w:rsidRPr="001A299F">
        <w:rPr>
          <w:rFonts w:ascii="Times New Roman" w:hAnsi="Times New Roman" w:cs="Times New Roman"/>
          <w:b/>
          <w:i/>
          <w:sz w:val="24"/>
          <w:szCs w:val="24"/>
        </w:rPr>
        <w:t xml:space="preserve"> года практически по всем подгруппам налоговых и неналоговых доходов областного бюджета произведена корректировка плановых назначений по доходам, как в сторону их уменьшения, так и увеличения, а также наблюдается как недовыполнение плановых показателей по отдельным доходам, так и их перевыполнение.</w:t>
      </w:r>
    </w:p>
    <w:p w:rsidR="009C45F8" w:rsidRPr="001A299F" w:rsidRDefault="009C45F8" w:rsidP="009C45F8">
      <w:pPr>
        <w:spacing w:after="0" w:line="240" w:lineRule="auto"/>
        <w:ind w:firstLine="709"/>
        <w:jc w:val="both"/>
        <w:rPr>
          <w:rFonts w:ascii="Times New Roman" w:hAnsi="Times New Roman" w:cs="Times New Roman"/>
          <w:b/>
          <w:i/>
          <w:sz w:val="24"/>
          <w:szCs w:val="24"/>
        </w:rPr>
      </w:pPr>
      <w:r w:rsidRPr="001A299F">
        <w:rPr>
          <w:rFonts w:ascii="Times New Roman" w:hAnsi="Times New Roman" w:cs="Times New Roman"/>
          <w:b/>
          <w:i/>
          <w:sz w:val="24"/>
          <w:szCs w:val="24"/>
        </w:rPr>
        <w:t>Таким образом, анализ исполнения областного бюджета за 201</w:t>
      </w:r>
      <w:r>
        <w:rPr>
          <w:rFonts w:ascii="Times New Roman" w:hAnsi="Times New Roman" w:cs="Times New Roman"/>
          <w:b/>
          <w:i/>
          <w:sz w:val="24"/>
          <w:szCs w:val="24"/>
        </w:rPr>
        <w:t>7</w:t>
      </w:r>
      <w:r w:rsidRPr="001A299F">
        <w:rPr>
          <w:rFonts w:ascii="Times New Roman" w:hAnsi="Times New Roman" w:cs="Times New Roman"/>
          <w:b/>
          <w:i/>
          <w:sz w:val="24"/>
          <w:szCs w:val="24"/>
        </w:rPr>
        <w:t xml:space="preserve"> год по налоговым и неналоговым доходам областного бюджета свидетельствует</w:t>
      </w:r>
      <w:r w:rsidR="00CC7DCD">
        <w:rPr>
          <w:rFonts w:ascii="Times New Roman" w:hAnsi="Times New Roman" w:cs="Times New Roman"/>
          <w:b/>
          <w:i/>
          <w:sz w:val="24"/>
          <w:szCs w:val="24"/>
        </w:rPr>
        <w:t xml:space="preserve"> о том, что остается</w:t>
      </w:r>
      <w:r w:rsidRPr="001A299F">
        <w:rPr>
          <w:rFonts w:ascii="Times New Roman" w:hAnsi="Times New Roman" w:cs="Times New Roman"/>
          <w:b/>
          <w:i/>
          <w:sz w:val="24"/>
          <w:szCs w:val="24"/>
        </w:rPr>
        <w:t xml:space="preserve"> актуальной проблема обеспечения точности прогнозирования </w:t>
      </w:r>
      <w:r>
        <w:rPr>
          <w:rFonts w:ascii="Times New Roman" w:hAnsi="Times New Roman" w:cs="Times New Roman"/>
          <w:b/>
          <w:i/>
          <w:sz w:val="24"/>
          <w:szCs w:val="24"/>
        </w:rPr>
        <w:t xml:space="preserve">доходов областного бюджета, которая определяет целесообразность совершенствования методологии прогнозирования поступлений доходов областного бюджета. </w:t>
      </w:r>
    </w:p>
    <w:p w:rsidR="009C45F8" w:rsidRPr="009C45F8" w:rsidRDefault="009C45F8" w:rsidP="009C45F8">
      <w:pPr>
        <w:spacing w:after="0" w:line="240" w:lineRule="auto"/>
        <w:ind w:firstLine="709"/>
        <w:jc w:val="both"/>
        <w:rPr>
          <w:rFonts w:ascii="Times New Roman" w:hAnsi="Times New Roman" w:cs="Times New Roman"/>
          <w:snapToGrid w:val="0"/>
          <w:sz w:val="24"/>
        </w:rPr>
      </w:pPr>
      <w:r w:rsidRPr="001A299F">
        <w:rPr>
          <w:rFonts w:ascii="Times New Roman" w:hAnsi="Times New Roman" w:cs="Times New Roman"/>
          <w:sz w:val="24"/>
          <w:szCs w:val="24"/>
        </w:rPr>
        <w:t>Анализ исполнения областного бюджета по доходам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с учетом </w:t>
      </w:r>
      <w:r w:rsidRPr="00F2588E">
        <w:rPr>
          <w:rFonts w:ascii="Times New Roman" w:hAnsi="Times New Roman" w:cs="Times New Roman"/>
          <w:sz w:val="24"/>
          <w:szCs w:val="24"/>
        </w:rPr>
        <w:t xml:space="preserve">первоначально утвержденных и уточненных плановых назначений представлен в </w:t>
      </w:r>
      <w:r w:rsidRPr="009C45F8">
        <w:rPr>
          <w:rFonts w:ascii="Times New Roman" w:hAnsi="Times New Roman" w:cs="Times New Roman"/>
          <w:sz w:val="24"/>
          <w:szCs w:val="24"/>
        </w:rPr>
        <w:t>Приложении 1.</w:t>
      </w:r>
    </w:p>
    <w:p w:rsidR="009C45F8" w:rsidRPr="00D76E35" w:rsidRDefault="009C45F8" w:rsidP="009C45F8">
      <w:pPr>
        <w:spacing w:after="0" w:line="240" w:lineRule="auto"/>
        <w:ind w:firstLine="720"/>
        <w:jc w:val="both"/>
        <w:rPr>
          <w:rFonts w:ascii="Times New Roman" w:hAnsi="Times New Roman" w:cs="Times New Roman"/>
          <w:sz w:val="24"/>
          <w:szCs w:val="24"/>
        </w:rPr>
      </w:pPr>
      <w:r w:rsidRPr="00D76E35">
        <w:rPr>
          <w:rFonts w:ascii="Times New Roman" w:hAnsi="Times New Roman" w:cs="Times New Roman"/>
          <w:sz w:val="24"/>
          <w:szCs w:val="24"/>
        </w:rPr>
        <w:t>Безвозмездные поступления за 2017 год составили 10888637,5 тыс. рублей при плановых назначениях 10009001,0 тыс. рублей, или 108,8 процента плановых назначений.</w:t>
      </w:r>
    </w:p>
    <w:p w:rsidR="009C45F8" w:rsidRPr="00D76E35" w:rsidRDefault="009C45F8" w:rsidP="009C45F8">
      <w:pPr>
        <w:spacing w:after="0" w:line="240" w:lineRule="auto"/>
        <w:ind w:firstLine="720"/>
        <w:jc w:val="both"/>
        <w:rPr>
          <w:rFonts w:ascii="Times New Roman" w:hAnsi="Times New Roman" w:cs="Times New Roman"/>
          <w:sz w:val="24"/>
          <w:szCs w:val="24"/>
        </w:rPr>
      </w:pPr>
      <w:r w:rsidRPr="00D76E35">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за 2017 год составили 9794093,4 тыс. рублей, плановые назначения - </w:t>
      </w:r>
      <w:r w:rsidRPr="00D76E35">
        <w:rPr>
          <w:rFonts w:ascii="Times New Roman" w:hAnsi="Times New Roman" w:cs="Times New Roman"/>
          <w:sz w:val="24"/>
          <w:szCs w:val="24"/>
        </w:rPr>
        <w:br/>
        <w:t xml:space="preserve">9058033,8 тыс. рублей, уровень исполнения – 108,1 процента, в том числе дотации на выравнивание бюджетной обеспеченности, на частичную компенсацию дополнительных расходов на повышение оплаты труда работников бюджетной сферы, дотации, связанные с особым режимом безопасного функционирования закрытых административно-территориальных образований) поступили в 2017 году в областной бюджет в полном </w:t>
      </w:r>
      <w:r>
        <w:rPr>
          <w:rFonts w:ascii="Times New Roman" w:hAnsi="Times New Roman" w:cs="Times New Roman"/>
          <w:sz w:val="24"/>
          <w:szCs w:val="24"/>
        </w:rPr>
        <w:br/>
      </w:r>
      <w:r w:rsidRPr="00D76E35">
        <w:rPr>
          <w:rFonts w:ascii="Times New Roman" w:hAnsi="Times New Roman" w:cs="Times New Roman"/>
          <w:sz w:val="24"/>
          <w:szCs w:val="24"/>
        </w:rPr>
        <w:t xml:space="preserve">объеме – 3791853,2 тыс. рублей, 297315,3 тыс. рублей, 71994,0 тыс. рублей соответственно. Общий объем поступивших в областной бюджет в 2017 году дотаций составил </w:t>
      </w:r>
      <w:r>
        <w:rPr>
          <w:rFonts w:ascii="Times New Roman" w:hAnsi="Times New Roman" w:cs="Times New Roman"/>
          <w:sz w:val="24"/>
          <w:szCs w:val="24"/>
        </w:rPr>
        <w:br/>
      </w:r>
      <w:r w:rsidRPr="00D76E35">
        <w:rPr>
          <w:rFonts w:ascii="Times New Roman" w:hAnsi="Times New Roman" w:cs="Times New Roman"/>
          <w:sz w:val="24"/>
          <w:szCs w:val="24"/>
        </w:rPr>
        <w:t xml:space="preserve">4161162,5 тыс. рублей.  </w:t>
      </w:r>
    </w:p>
    <w:p w:rsidR="009C45F8" w:rsidRPr="00D76E35" w:rsidRDefault="009C45F8" w:rsidP="009C45F8">
      <w:pPr>
        <w:spacing w:after="0" w:line="240" w:lineRule="auto"/>
        <w:ind w:firstLine="720"/>
        <w:jc w:val="both"/>
        <w:rPr>
          <w:rFonts w:ascii="Times New Roman" w:hAnsi="Times New Roman" w:cs="Times New Roman"/>
          <w:sz w:val="24"/>
          <w:szCs w:val="24"/>
        </w:rPr>
      </w:pPr>
      <w:r w:rsidRPr="00D76E35">
        <w:rPr>
          <w:rFonts w:ascii="Times New Roman" w:hAnsi="Times New Roman" w:cs="Times New Roman"/>
          <w:sz w:val="24"/>
          <w:szCs w:val="24"/>
        </w:rPr>
        <w:t xml:space="preserve">Объем поступления субсидий составляет 2612805,6 тыс. рублей (плановые </w:t>
      </w:r>
      <w:r>
        <w:rPr>
          <w:rFonts w:ascii="Times New Roman" w:hAnsi="Times New Roman" w:cs="Times New Roman"/>
          <w:sz w:val="24"/>
          <w:szCs w:val="24"/>
        </w:rPr>
        <w:br/>
      </w:r>
      <w:r w:rsidRPr="00D76E35">
        <w:rPr>
          <w:rFonts w:ascii="Times New Roman" w:hAnsi="Times New Roman" w:cs="Times New Roman"/>
          <w:sz w:val="24"/>
          <w:szCs w:val="24"/>
        </w:rPr>
        <w:t xml:space="preserve">назначения – 2120325,4 тыс. рублей, уровень исполнения – 123,2 процента), субвенций – 2647131,6 тыс. рублей (плановые назначения – 2449657,3 тыс. рублей, уровень исполнения – </w:t>
      </w:r>
      <w:r w:rsidRPr="00D76E35">
        <w:rPr>
          <w:rFonts w:ascii="Times New Roman" w:hAnsi="Times New Roman" w:cs="Times New Roman"/>
          <w:sz w:val="24"/>
          <w:szCs w:val="24"/>
        </w:rPr>
        <w:lastRenderedPageBreak/>
        <w:t>108,1 процента), иных межбюджетных трансфертов – 372993,7 тыс. рублей (плановые назначения – 326888,6 тыс. рублей, уровень исполнения – 114,1 процента).</w:t>
      </w:r>
    </w:p>
    <w:p w:rsidR="009C45F8" w:rsidRPr="00D76E35" w:rsidRDefault="009C45F8" w:rsidP="009C45F8">
      <w:pPr>
        <w:spacing w:after="0" w:line="240" w:lineRule="auto"/>
        <w:ind w:firstLine="720"/>
        <w:jc w:val="both"/>
        <w:rPr>
          <w:rFonts w:ascii="Times New Roman" w:hAnsi="Times New Roman" w:cs="Times New Roman"/>
          <w:sz w:val="24"/>
          <w:szCs w:val="24"/>
        </w:rPr>
      </w:pPr>
      <w:r w:rsidRPr="00D76E35">
        <w:rPr>
          <w:rFonts w:ascii="Times New Roman" w:hAnsi="Times New Roman" w:cs="Times New Roman"/>
          <w:sz w:val="24"/>
          <w:szCs w:val="24"/>
        </w:rPr>
        <w:t xml:space="preserve">Безвозмездные поступления от государственной корпорации Фонд содействия реформированию жилищно-коммунального хозяйства за 2017 год составили </w:t>
      </w:r>
      <w:r w:rsidRPr="00D76E35">
        <w:rPr>
          <w:rFonts w:ascii="Times New Roman" w:hAnsi="Times New Roman" w:cs="Times New Roman"/>
          <w:sz w:val="24"/>
          <w:szCs w:val="24"/>
        </w:rPr>
        <w:br/>
        <w:t xml:space="preserve">242359,9 тыс. рублей (плановые назначения – 301335,0 тыс. рублей, уровень исполнения – 80,4 процента), в том числе на обеспечение мероприятий по переселению граждан из аварийного жилищного фонда – 90835,0 тыс. рублей (уровень исполнения – 99,5 процента плановых назначений), на обеспечение мероприятий по модернизации систем коммунальной инфраструктуры – 151524,9 тыс. рублей  (уровень исполнения – 72,2 процента плановых назначений). </w:t>
      </w:r>
    </w:p>
    <w:p w:rsidR="009C45F8" w:rsidRPr="00D76E35" w:rsidRDefault="009C45F8" w:rsidP="009C45F8">
      <w:pPr>
        <w:spacing w:after="0" w:line="240" w:lineRule="auto"/>
        <w:ind w:firstLine="720"/>
        <w:jc w:val="both"/>
        <w:rPr>
          <w:rFonts w:ascii="Times New Roman" w:hAnsi="Times New Roman" w:cs="Times New Roman"/>
          <w:sz w:val="24"/>
          <w:szCs w:val="24"/>
        </w:rPr>
      </w:pPr>
      <w:r w:rsidRPr="00D76E35">
        <w:rPr>
          <w:rFonts w:ascii="Times New Roman" w:hAnsi="Times New Roman" w:cs="Times New Roman"/>
          <w:sz w:val="24"/>
          <w:szCs w:val="24"/>
        </w:rPr>
        <w:t>Объем прочих безвозмездных поступлений в 2017 году составляет 217610,4 тыс. рублей при плановых назначениях  - 70000,0 тыс. рублей.</w:t>
      </w:r>
    </w:p>
    <w:p w:rsidR="009C45F8" w:rsidRPr="00D76E35" w:rsidRDefault="009C45F8" w:rsidP="009C45F8">
      <w:pPr>
        <w:spacing w:after="0" w:line="240" w:lineRule="auto"/>
        <w:ind w:firstLine="709"/>
        <w:jc w:val="both"/>
        <w:rPr>
          <w:rFonts w:ascii="Times New Roman" w:hAnsi="Times New Roman" w:cs="Times New Roman"/>
          <w:sz w:val="24"/>
          <w:szCs w:val="24"/>
        </w:rPr>
      </w:pPr>
      <w:r w:rsidRPr="00D76E35">
        <w:rPr>
          <w:rFonts w:ascii="Times New Roman" w:hAnsi="Times New Roman" w:cs="Times New Roman"/>
          <w:sz w:val="24"/>
          <w:szCs w:val="24"/>
        </w:rPr>
        <w:t>Исполнение по доходам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составило 618961,2 тыс. рублей при плановых назначениях 579632,3 тыс. рублей.</w:t>
      </w:r>
    </w:p>
    <w:p w:rsidR="009C45F8" w:rsidRPr="00D76E35" w:rsidRDefault="009C45F8" w:rsidP="009C45F8">
      <w:pPr>
        <w:spacing w:after="0" w:line="240" w:lineRule="auto"/>
        <w:ind w:firstLine="720"/>
        <w:jc w:val="both"/>
        <w:rPr>
          <w:rFonts w:ascii="Times New Roman" w:hAnsi="Times New Roman" w:cs="Times New Roman"/>
          <w:sz w:val="24"/>
          <w:szCs w:val="24"/>
        </w:rPr>
      </w:pPr>
      <w:r w:rsidRPr="00D76E35">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составил 15612,6 тыс. рублей.</w:t>
      </w:r>
    </w:p>
    <w:p w:rsidR="009C45F8" w:rsidRPr="002D41CD" w:rsidRDefault="009C45F8" w:rsidP="009C45F8">
      <w:pPr>
        <w:spacing w:after="0" w:line="240" w:lineRule="auto"/>
        <w:ind w:firstLine="720"/>
        <w:jc w:val="both"/>
        <w:rPr>
          <w:rFonts w:ascii="Times New Roman" w:hAnsi="Times New Roman" w:cs="Times New Roman"/>
          <w:sz w:val="24"/>
          <w:szCs w:val="24"/>
        </w:rPr>
      </w:pPr>
      <w:r w:rsidRPr="002D41CD">
        <w:rPr>
          <w:rFonts w:ascii="Times New Roman" w:hAnsi="Times New Roman" w:cs="Times New Roman"/>
          <w:sz w:val="24"/>
          <w:szCs w:val="24"/>
        </w:rPr>
        <w:t xml:space="preserve">Согласно информации, представленной в контрольно-счетную палату области Управлением Федерального казначейства по Амурской области (письмо от 11.05.2018 </w:t>
      </w:r>
      <w:r w:rsidRPr="002D41CD">
        <w:rPr>
          <w:rFonts w:ascii="Times New Roman" w:hAnsi="Times New Roman" w:cs="Times New Roman"/>
          <w:sz w:val="24"/>
          <w:szCs w:val="24"/>
        </w:rPr>
        <w:br/>
        <w:t>№ 23-21-24/15-2928), в 2017 году по данному виду доходов областного бюджета Управлением Федерального казначейства по Амурской области произведено бесспорное взыскание средств областного бюджета в федеральный бюджет на сумму</w:t>
      </w:r>
      <w:r>
        <w:rPr>
          <w:rFonts w:ascii="Times New Roman" w:hAnsi="Times New Roman" w:cs="Times New Roman"/>
          <w:sz w:val="24"/>
          <w:szCs w:val="24"/>
        </w:rPr>
        <w:t xml:space="preserve"> 1319,0 </w:t>
      </w:r>
      <w:r w:rsidRPr="002D41CD">
        <w:rPr>
          <w:rFonts w:ascii="Times New Roman" w:hAnsi="Times New Roman" w:cs="Times New Roman"/>
          <w:sz w:val="24"/>
          <w:szCs w:val="24"/>
        </w:rPr>
        <w:t>тыс. рублей, в том числе:</w:t>
      </w:r>
    </w:p>
    <w:p w:rsidR="009C45F8" w:rsidRPr="005129E6" w:rsidRDefault="009C45F8" w:rsidP="009C45F8">
      <w:pPr>
        <w:spacing w:after="0" w:line="240" w:lineRule="auto"/>
        <w:ind w:firstLine="720"/>
        <w:jc w:val="both"/>
        <w:rPr>
          <w:rFonts w:ascii="Times New Roman" w:hAnsi="Times New Roman" w:cs="Times New Roman"/>
          <w:sz w:val="24"/>
          <w:szCs w:val="24"/>
        </w:rPr>
      </w:pPr>
      <w:r w:rsidRPr="005129E6">
        <w:rPr>
          <w:rFonts w:ascii="Times New Roman" w:hAnsi="Times New Roman" w:cs="Times New Roman"/>
          <w:sz w:val="24"/>
          <w:szCs w:val="24"/>
        </w:rPr>
        <w:t>-1,3 тыс. рублей на основании приказа Министерства финансов Российской Федерации от 02.06.2017 № 418 в соответствии со статьей 306.3. Бюджетного кодекса Российской Федерации. Средства областного бюджета взысканы в связи с выявлением факта нарушения условий предоставления  субсидии на реализацию дополнительных мероприятий в сфере занятости населения в рамках подпрограммы «Активная политика занятости населения и социальной поддержки безработных граждан» государственной программы Российской Федерации «Содействие занятости населения», предоставленной  в 2015 году  из федерального бюджета бюджету  Амурской области (статья 306.8. Бюджетного кодекса Российской Федерации – нарушение условий предоставления (расходования) межбюджетных трансфертов);</w:t>
      </w:r>
    </w:p>
    <w:p w:rsidR="009C45F8" w:rsidRPr="008954A1" w:rsidRDefault="009C45F8" w:rsidP="009C45F8">
      <w:pPr>
        <w:spacing w:after="0" w:line="240" w:lineRule="auto"/>
        <w:ind w:firstLine="720"/>
        <w:jc w:val="both"/>
        <w:rPr>
          <w:rFonts w:ascii="Times New Roman" w:hAnsi="Times New Roman" w:cs="Times New Roman"/>
          <w:sz w:val="24"/>
          <w:szCs w:val="24"/>
        </w:rPr>
      </w:pPr>
      <w:r w:rsidRPr="008954A1">
        <w:rPr>
          <w:rFonts w:ascii="Times New Roman" w:hAnsi="Times New Roman" w:cs="Times New Roman"/>
          <w:sz w:val="24"/>
          <w:szCs w:val="24"/>
        </w:rPr>
        <w:t>- 72,7 тыс. рублей на основании Приказа Министерства финансов Российской Федерации от 16.06.2017 № 460 в соответствии со статьей 306.3 Бюджетного кодекса Российской Федерации. Средства областного бюджета взысканы в связи с нецелевым использованием субсидии, предоставленной в 2015 году из федерального бюджета бюджету Амурской области на реализацию дополнительных мероприятий в сфере занятости населения, направленных на снижение напряженности на рынке труда субъекта Российской Федерации в рамках подпрограммы «Активная политика занятости населения и социальной поддержки безработных граждан» государственной программы Российской Федерации «Содействие занятости населения» (статья 306.4 Бюджетного кодекса Российской Федерации);</w:t>
      </w:r>
    </w:p>
    <w:p w:rsidR="009C45F8" w:rsidRPr="00F03F63" w:rsidRDefault="009C45F8" w:rsidP="009C45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- 136,2 тыс. рублей на основании приказа Министерства финансов Российской Федерации от 01.09.2017 № 710 в соответствии со статьей 306.3</w:t>
      </w:r>
      <w:r w:rsidRPr="00B8315D">
        <w:rPr>
          <w:rFonts w:ascii="Times New Roman" w:hAnsi="Times New Roman" w:cs="Times New Roman"/>
          <w:sz w:val="24"/>
          <w:szCs w:val="24"/>
        </w:rPr>
        <w:t xml:space="preserve"> </w:t>
      </w:r>
      <w:r>
        <w:rPr>
          <w:rFonts w:ascii="Times New Roman" w:hAnsi="Times New Roman" w:cs="Times New Roman"/>
          <w:sz w:val="24"/>
          <w:szCs w:val="24"/>
        </w:rPr>
        <w:t xml:space="preserve">Бюджетного кодекса Российской Федерации. Средства областного бюджета взысканы в связи с выявлением факта нарушения условий предоставления (расходования) субсидии (статья </w:t>
      </w:r>
      <w:r w:rsidRPr="005129E6">
        <w:rPr>
          <w:rFonts w:ascii="Times New Roman" w:hAnsi="Times New Roman" w:cs="Times New Roman"/>
          <w:sz w:val="24"/>
          <w:szCs w:val="24"/>
        </w:rPr>
        <w:t xml:space="preserve"> 306.8. Бюджетного кодекса Российской Федерации</w:t>
      </w:r>
      <w:r>
        <w:rPr>
          <w:rFonts w:ascii="Times New Roman" w:hAnsi="Times New Roman" w:cs="Times New Roman"/>
          <w:sz w:val="24"/>
          <w:szCs w:val="24"/>
        </w:rPr>
        <w:t xml:space="preserve">), предоставленной в 2016 году из федерального бюджета бюджету Амурской области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«Развитие подотрасли растениеводства, переработки и реализации продукции </w:t>
      </w:r>
      <w:r>
        <w:rPr>
          <w:rFonts w:ascii="Times New Roman" w:hAnsi="Times New Roman" w:cs="Times New Roman"/>
          <w:sz w:val="24"/>
          <w:szCs w:val="24"/>
        </w:rPr>
        <w:lastRenderedPageBreak/>
        <w:t>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r w:rsidRPr="00F03F63">
        <w:rPr>
          <w:rFonts w:ascii="Times New Roman" w:hAnsi="Times New Roman" w:cs="Times New Roman"/>
          <w:sz w:val="24"/>
          <w:szCs w:val="24"/>
        </w:rPr>
        <w:t>;</w:t>
      </w:r>
    </w:p>
    <w:p w:rsidR="009C45F8" w:rsidRPr="008954A1" w:rsidRDefault="009C45F8" w:rsidP="009C45F8">
      <w:pPr>
        <w:spacing w:after="0" w:line="240" w:lineRule="auto"/>
        <w:ind w:firstLine="720"/>
        <w:jc w:val="both"/>
        <w:rPr>
          <w:rFonts w:ascii="Times New Roman" w:hAnsi="Times New Roman" w:cs="Times New Roman"/>
          <w:sz w:val="24"/>
          <w:szCs w:val="24"/>
        </w:rPr>
      </w:pPr>
      <w:r w:rsidRPr="00F03F63">
        <w:rPr>
          <w:rFonts w:ascii="Times New Roman" w:hAnsi="Times New Roman" w:cs="Times New Roman"/>
          <w:sz w:val="24"/>
          <w:szCs w:val="24"/>
        </w:rPr>
        <w:t>- 1108</w:t>
      </w:r>
      <w:r>
        <w:rPr>
          <w:rFonts w:ascii="Times New Roman" w:hAnsi="Times New Roman" w:cs="Times New Roman"/>
          <w:sz w:val="24"/>
          <w:szCs w:val="24"/>
        </w:rPr>
        <w:t>,</w:t>
      </w:r>
      <w:r w:rsidRPr="00F03F63">
        <w:rPr>
          <w:rFonts w:ascii="Times New Roman" w:hAnsi="Times New Roman" w:cs="Times New Roman"/>
          <w:sz w:val="24"/>
          <w:szCs w:val="24"/>
        </w:rPr>
        <w:t>8</w:t>
      </w:r>
      <w:r>
        <w:rPr>
          <w:rFonts w:ascii="Times New Roman" w:hAnsi="Times New Roman" w:cs="Times New Roman"/>
          <w:sz w:val="24"/>
          <w:szCs w:val="24"/>
        </w:rPr>
        <w:t xml:space="preserve"> тыс. рублей на основании Приказа Министерства финансов Российской Федерации от 04.10.2017 № 911 в соответствии со статьей 306.3</w:t>
      </w:r>
      <w:r w:rsidRPr="00B8315D">
        <w:rPr>
          <w:rFonts w:ascii="Times New Roman" w:hAnsi="Times New Roman" w:cs="Times New Roman"/>
          <w:sz w:val="24"/>
          <w:szCs w:val="24"/>
        </w:rPr>
        <w:t xml:space="preserve"> </w:t>
      </w:r>
      <w:r>
        <w:rPr>
          <w:rFonts w:ascii="Times New Roman" w:hAnsi="Times New Roman" w:cs="Times New Roman"/>
          <w:sz w:val="24"/>
          <w:szCs w:val="24"/>
        </w:rPr>
        <w:t xml:space="preserve">Бюджетного кодекса Российской Федерации. Средства областного бюджета взысканы в связи с выявлением факта нарушения условий предоставления (расходования) субсидии (статья </w:t>
      </w:r>
      <w:r w:rsidRPr="005129E6">
        <w:rPr>
          <w:rFonts w:ascii="Times New Roman" w:hAnsi="Times New Roman" w:cs="Times New Roman"/>
          <w:sz w:val="24"/>
          <w:szCs w:val="24"/>
        </w:rPr>
        <w:t xml:space="preserve"> 306.8. Бюджетного кодекса Российской Федерации</w:t>
      </w:r>
      <w:r>
        <w:rPr>
          <w:rFonts w:ascii="Times New Roman" w:hAnsi="Times New Roman" w:cs="Times New Roman"/>
          <w:sz w:val="24"/>
          <w:szCs w:val="24"/>
        </w:rPr>
        <w:t>), предоставленной в 2015 году из федерального бюджета бюджету Амурской области на реализацию мероприятий включенных в государственную программу Амурской области,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являющимися приложением № 6 к государственной программе Российской Федерации «Доступная среда» на 2011-2015 годы.</w:t>
      </w:r>
    </w:p>
    <w:p w:rsidR="009C45F8" w:rsidRPr="00B8315D" w:rsidRDefault="009C45F8" w:rsidP="009C45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Кроме того,</w:t>
      </w:r>
      <w:r w:rsidRPr="008954A1">
        <w:rPr>
          <w:rFonts w:ascii="Times New Roman" w:hAnsi="Times New Roman" w:cs="Times New Roman"/>
          <w:sz w:val="24"/>
          <w:szCs w:val="24"/>
        </w:rPr>
        <w:t xml:space="preserve"> </w:t>
      </w:r>
      <w:r>
        <w:rPr>
          <w:rFonts w:ascii="Times New Roman" w:hAnsi="Times New Roman" w:cs="Times New Roman"/>
          <w:sz w:val="24"/>
          <w:szCs w:val="24"/>
        </w:rPr>
        <w:t>на основании письма Министерства финансов Российской Федерации от 12.09.2017 № 06-03-05/23/58416 в связи с нарушением порядка согласования с Минфином России изменений в закон о бюджете субъекта Российской Федерации (нарушены условия соглашения о предоставлении бюджету Амурской области из федерального бюджета бюджетного кредита для частичного покрытия дефицита бюджета Амурской области от 28.09.2015 № 01-01-06/06-154 на сумму 2477,6 млн. рублей – п.3.2 соглашения, в соответствии с которым заемщик обязан, в том числе согласовывать с Минфином России (до внесения в законодательный орган государственной власти субъекта Российской Федерации) предполагаемые изменения в закон о бюджете субъекта Российской Федерации в случае, если указанные изменения приводят к изменению дефицита бюджета субъекта Российской Федерации) инициирован  добровольный досрочный возврат Амурской областью части основного долга по указанному бюджетному кредиту, предоставленному из федерального бюджета, в размере 5,0 процентов от общей суммы бюджетного кредита, или 123882,5 тыс. рублей  (поскольку по итогам исполнения областного бюджета за 2015-2016 годы показатели дефицита бюджета и объема государственного долга Амурской области не превышают целевые показатели, утвержденные заключенными соглашениями, Министерством финансов Российской Федерации предложено добровольное досрочное погашение части основного долга по бюджетному кредиту).</w:t>
      </w:r>
    </w:p>
    <w:p w:rsidR="009C45F8" w:rsidRPr="00CA1410" w:rsidRDefault="009C45F8" w:rsidP="009C45F8">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cs="Times New Roman"/>
          <w:b/>
          <w:i/>
          <w:sz w:val="24"/>
          <w:szCs w:val="24"/>
        </w:rPr>
        <w:t>П</w:t>
      </w:r>
      <w:r w:rsidRPr="00CA1410">
        <w:rPr>
          <w:rFonts w:ascii="Times New Roman" w:hAnsi="Times New Roman" w:cs="Times New Roman"/>
          <w:b/>
          <w:i/>
          <w:sz w:val="24"/>
          <w:szCs w:val="24"/>
        </w:rPr>
        <w:t>роведенное в 2017 году бесспорное взыскание средств областного бюджета в доход федерального бюджета</w:t>
      </w:r>
      <w:r>
        <w:rPr>
          <w:rFonts w:ascii="Times New Roman" w:hAnsi="Times New Roman" w:cs="Times New Roman"/>
          <w:b/>
          <w:i/>
          <w:sz w:val="24"/>
          <w:szCs w:val="24"/>
        </w:rPr>
        <w:t>, а также добровольный досрочный возврат Амурской областью части основного долга по бюджетному кредиту</w:t>
      </w:r>
      <w:r w:rsidRPr="00CA1410">
        <w:rPr>
          <w:rFonts w:ascii="Times New Roman" w:hAnsi="Times New Roman" w:cs="Times New Roman"/>
          <w:b/>
          <w:i/>
          <w:sz w:val="24"/>
          <w:szCs w:val="24"/>
        </w:rPr>
        <w:t xml:space="preserve"> подтверждает реальное </w:t>
      </w:r>
      <w:r w:rsidRPr="00CA1410">
        <w:rPr>
          <w:rFonts w:ascii="Times New Roman" w:hAnsi="Times New Roman"/>
          <w:b/>
          <w:bCs/>
          <w:i/>
          <w:iCs/>
          <w:sz w:val="24"/>
          <w:szCs w:val="24"/>
        </w:rPr>
        <w:t>применени</w:t>
      </w:r>
      <w:r w:rsidR="00CC7DCD">
        <w:rPr>
          <w:rFonts w:ascii="Times New Roman" w:hAnsi="Times New Roman"/>
          <w:b/>
          <w:bCs/>
          <w:i/>
          <w:iCs/>
          <w:sz w:val="24"/>
          <w:szCs w:val="24"/>
        </w:rPr>
        <w:t>е</w:t>
      </w:r>
      <w:r w:rsidRPr="00CA1410">
        <w:rPr>
          <w:rFonts w:ascii="Times New Roman" w:hAnsi="Times New Roman"/>
          <w:b/>
          <w:bCs/>
          <w:i/>
          <w:iCs/>
          <w:sz w:val="24"/>
          <w:szCs w:val="24"/>
        </w:rPr>
        <w:t xml:space="preserve"> к субъекту бюджетной меры принуждения в</w:t>
      </w:r>
      <w:r w:rsidRPr="00CA1410">
        <w:rPr>
          <w:rFonts w:ascii="Times New Roman" w:hAnsi="Times New Roman"/>
          <w:b/>
          <w:i/>
          <w:sz w:val="24"/>
          <w:szCs w:val="24"/>
        </w:rPr>
        <w:t xml:space="preserve"> соответствии со статьями 306.4, </w:t>
      </w:r>
      <w:r>
        <w:rPr>
          <w:rFonts w:ascii="Times New Roman" w:hAnsi="Times New Roman"/>
          <w:b/>
          <w:i/>
          <w:sz w:val="24"/>
          <w:szCs w:val="24"/>
        </w:rPr>
        <w:t xml:space="preserve">306.7, </w:t>
      </w:r>
      <w:r w:rsidRPr="00CA1410">
        <w:rPr>
          <w:rFonts w:ascii="Times New Roman" w:hAnsi="Times New Roman"/>
          <w:b/>
          <w:i/>
          <w:sz w:val="24"/>
          <w:szCs w:val="24"/>
        </w:rPr>
        <w:t>306.8. Бюджетног</w:t>
      </w:r>
      <w:r w:rsidR="00EE48D6">
        <w:rPr>
          <w:rFonts w:ascii="Times New Roman" w:hAnsi="Times New Roman"/>
          <w:b/>
          <w:i/>
          <w:sz w:val="24"/>
          <w:szCs w:val="24"/>
        </w:rPr>
        <w:t>о кодекса Российской Федерации.</w:t>
      </w:r>
    </w:p>
    <w:p w:rsidR="009C45F8" w:rsidRPr="00CA1410" w:rsidRDefault="009C45F8" w:rsidP="009C45F8">
      <w:pPr>
        <w:spacing w:after="0" w:line="240" w:lineRule="auto"/>
        <w:ind w:firstLine="709"/>
        <w:jc w:val="both"/>
        <w:rPr>
          <w:rFonts w:ascii="Times New Roman" w:hAnsi="Times New Roman" w:cs="Times New Roman"/>
          <w:b/>
          <w:i/>
          <w:sz w:val="24"/>
          <w:szCs w:val="24"/>
        </w:rPr>
      </w:pPr>
      <w:r w:rsidRPr="00CA1410">
        <w:rPr>
          <w:rFonts w:ascii="Times New Roman" w:hAnsi="Times New Roman" w:cs="Times New Roman"/>
          <w:b/>
          <w:i/>
          <w:sz w:val="24"/>
          <w:szCs w:val="24"/>
        </w:rPr>
        <w:t>Аналогичная ситуация (применение статьи 306.8. Бюджетного кодекса Российской Федерации – нарушение условий предоставления (расходования) межбюджетных трансфертов) наблюдалась в 2015 -2016 годах. Бесспорное взыскание средств областного бюджета в доход федерального бюджета в 2015 году произведено на сумму 148728,5 тыс. рублей, в 2016 году – на сумму 201272,8 тыс. рублей.</w:t>
      </w:r>
    </w:p>
    <w:p w:rsidR="009C45F8" w:rsidRDefault="009C45F8" w:rsidP="009C45F8">
      <w:pPr>
        <w:widowControl w:val="0"/>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К</w:t>
      </w:r>
      <w:r w:rsidRPr="00CA1410">
        <w:rPr>
          <w:rFonts w:ascii="Times New Roman" w:hAnsi="Times New Roman" w:cs="Times New Roman"/>
          <w:b/>
          <w:i/>
          <w:sz w:val="24"/>
          <w:szCs w:val="24"/>
        </w:rPr>
        <w:t xml:space="preserve">онтрольно-счетная палата области </w:t>
      </w:r>
      <w:r>
        <w:rPr>
          <w:rFonts w:ascii="Times New Roman" w:hAnsi="Times New Roman" w:cs="Times New Roman"/>
          <w:b/>
          <w:i/>
          <w:sz w:val="24"/>
          <w:szCs w:val="24"/>
        </w:rPr>
        <w:t>считает</w:t>
      </w:r>
      <w:r w:rsidRPr="00CA1410">
        <w:rPr>
          <w:rFonts w:ascii="Times New Roman" w:hAnsi="Times New Roman" w:cs="Times New Roman"/>
          <w:b/>
          <w:i/>
          <w:sz w:val="24"/>
          <w:szCs w:val="24"/>
        </w:rPr>
        <w:t xml:space="preserve"> необходим</w:t>
      </w:r>
      <w:r>
        <w:rPr>
          <w:rFonts w:ascii="Times New Roman" w:hAnsi="Times New Roman" w:cs="Times New Roman"/>
          <w:b/>
          <w:i/>
          <w:sz w:val="24"/>
          <w:szCs w:val="24"/>
        </w:rPr>
        <w:t>ым</w:t>
      </w:r>
      <w:r w:rsidRPr="00CA1410">
        <w:rPr>
          <w:rFonts w:ascii="Times New Roman" w:hAnsi="Times New Roman" w:cs="Times New Roman"/>
          <w:b/>
          <w:i/>
          <w:sz w:val="24"/>
          <w:szCs w:val="24"/>
        </w:rPr>
        <w:t xml:space="preserve"> </w:t>
      </w:r>
      <w:r w:rsidR="00124114">
        <w:rPr>
          <w:rFonts w:ascii="Times New Roman" w:hAnsi="Times New Roman" w:cs="Times New Roman"/>
          <w:b/>
          <w:i/>
          <w:sz w:val="24"/>
          <w:szCs w:val="24"/>
        </w:rPr>
        <w:t xml:space="preserve">обеспечить </w:t>
      </w:r>
      <w:r w:rsidRPr="00CA1410">
        <w:rPr>
          <w:rFonts w:ascii="Times New Roman" w:hAnsi="Times New Roman" w:cs="Times New Roman"/>
          <w:b/>
          <w:i/>
          <w:sz w:val="24"/>
          <w:szCs w:val="24"/>
        </w:rPr>
        <w:t>безусловно</w:t>
      </w:r>
      <w:r>
        <w:rPr>
          <w:rFonts w:ascii="Times New Roman" w:hAnsi="Times New Roman" w:cs="Times New Roman"/>
          <w:b/>
          <w:i/>
          <w:sz w:val="24"/>
          <w:szCs w:val="24"/>
        </w:rPr>
        <w:t>е</w:t>
      </w:r>
      <w:r w:rsidRPr="00CA1410">
        <w:rPr>
          <w:rFonts w:ascii="Times New Roman" w:hAnsi="Times New Roman" w:cs="Times New Roman"/>
          <w:b/>
          <w:i/>
          <w:sz w:val="24"/>
          <w:szCs w:val="24"/>
        </w:rPr>
        <w:t xml:space="preserve"> </w:t>
      </w:r>
      <w:r>
        <w:rPr>
          <w:rFonts w:ascii="Times New Roman" w:hAnsi="Times New Roman" w:cs="Times New Roman"/>
          <w:b/>
          <w:i/>
          <w:sz w:val="24"/>
          <w:szCs w:val="24"/>
        </w:rPr>
        <w:t>соблюдение Амурской областью</w:t>
      </w:r>
      <w:r w:rsidRPr="00CA1410">
        <w:rPr>
          <w:rFonts w:ascii="Times New Roman" w:hAnsi="Times New Roman" w:cs="Times New Roman"/>
          <w:b/>
          <w:i/>
          <w:sz w:val="24"/>
          <w:szCs w:val="24"/>
        </w:rPr>
        <w:t xml:space="preserve"> условий </w:t>
      </w:r>
      <w:r w:rsidRPr="00CA1410">
        <w:rPr>
          <w:rFonts w:ascii="Times New Roman" w:hAnsi="Times New Roman"/>
          <w:b/>
          <w:i/>
          <w:sz w:val="24"/>
          <w:szCs w:val="24"/>
        </w:rPr>
        <w:t xml:space="preserve">предоставления межбюджетных трансфертов, бюджетных кредитов, а также </w:t>
      </w:r>
      <w:r w:rsidRPr="00CA1410">
        <w:rPr>
          <w:rFonts w:ascii="Times New Roman" w:hAnsi="Times New Roman" w:cs="Times New Roman"/>
          <w:b/>
          <w:bCs/>
          <w:i/>
          <w:iCs/>
          <w:sz w:val="24"/>
          <w:szCs w:val="24"/>
        </w:rPr>
        <w:t>использования по целевому назначению средств федерального бюджета</w:t>
      </w:r>
      <w:r w:rsidRPr="00CA1410">
        <w:rPr>
          <w:rFonts w:ascii="Times New Roman" w:hAnsi="Times New Roman" w:cs="Times New Roman"/>
          <w:b/>
          <w:i/>
          <w:sz w:val="24"/>
          <w:szCs w:val="24"/>
        </w:rPr>
        <w:t>.</w:t>
      </w:r>
    </w:p>
    <w:p w:rsidR="009C45F8" w:rsidRDefault="009C45F8" w:rsidP="009C45F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C45F8" w:rsidRPr="001A299F" w:rsidRDefault="009C45F8" w:rsidP="009C45F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 xml:space="preserve">4. Дефицит областного бюджета. Источники финансирования дефицита </w:t>
      </w:r>
      <w:r w:rsidRPr="001A299F">
        <w:rPr>
          <w:rFonts w:ascii="Times New Roman" w:eastAsia="Times New Roman" w:hAnsi="Times New Roman" w:cs="Times New Roman"/>
          <w:b/>
          <w:sz w:val="24"/>
          <w:szCs w:val="24"/>
          <w:lang w:eastAsia="ru-RU"/>
        </w:rPr>
        <w:br/>
        <w:t>областного бюджета</w:t>
      </w:r>
    </w:p>
    <w:p w:rsidR="009C45F8" w:rsidRPr="00813B33" w:rsidRDefault="009C45F8" w:rsidP="009070B2">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813B33">
        <w:rPr>
          <w:rFonts w:ascii="Times New Roman" w:hAnsi="Times New Roman" w:cs="Times New Roman"/>
          <w:spacing w:val="6"/>
          <w:sz w:val="24"/>
          <w:szCs w:val="24"/>
        </w:rPr>
        <w:t xml:space="preserve">Согласно Закону Амурской области от 20.12.2016 № 27-ОЗ «Об областном бюджете на 2017 год и плановый период 2018 и 2019 годов» первоначально на </w:t>
      </w:r>
      <w:r w:rsidRPr="00813B33">
        <w:rPr>
          <w:rFonts w:ascii="Times New Roman" w:hAnsi="Times New Roman" w:cs="Times New Roman"/>
          <w:spacing w:val="6"/>
          <w:sz w:val="24"/>
          <w:szCs w:val="24"/>
        </w:rPr>
        <w:br/>
        <w:t xml:space="preserve">2017 год запланирован профицит областного бюджета в сумме 3433004,9 тыс. рублей. Уточненный показатель размера профицита областного бюджета на 2017 год в </w:t>
      </w:r>
      <w:r w:rsidRPr="00813B33">
        <w:rPr>
          <w:rFonts w:ascii="Times New Roman" w:hAnsi="Times New Roman" w:cs="Times New Roman"/>
          <w:spacing w:val="6"/>
          <w:sz w:val="24"/>
          <w:szCs w:val="24"/>
        </w:rPr>
        <w:lastRenderedPageBreak/>
        <w:t>соответствии с законом об областном бюджете (с учетом изменений) составил 1420611,5 тыс. рублей.</w:t>
      </w:r>
    </w:p>
    <w:p w:rsidR="009C45F8" w:rsidRPr="00813B33" w:rsidRDefault="009C45F8" w:rsidP="00CC7DCD">
      <w:pPr>
        <w:autoSpaceDE w:val="0"/>
        <w:autoSpaceDN w:val="0"/>
        <w:adjustRightInd w:val="0"/>
        <w:spacing w:after="0" w:line="240" w:lineRule="auto"/>
        <w:ind w:firstLine="709"/>
        <w:jc w:val="both"/>
        <w:rPr>
          <w:rFonts w:ascii="Times New Roman" w:hAnsi="Times New Roman" w:cs="Times New Roman"/>
          <w:sz w:val="24"/>
          <w:szCs w:val="24"/>
        </w:rPr>
      </w:pPr>
      <w:r w:rsidRPr="00813B33">
        <w:rPr>
          <w:rFonts w:ascii="Times New Roman" w:hAnsi="Times New Roman" w:cs="Times New Roman"/>
          <w:spacing w:val="6"/>
          <w:sz w:val="24"/>
          <w:szCs w:val="24"/>
        </w:rPr>
        <w:t xml:space="preserve">Согласно форме бюджетной отчетности 0503317 «Отчет об исполнении консолидированного бюджета субъекта Российской Федерации и бюджета территориального государственного внебюджетного фонда» (раздел «Источники финансирования дефицита бюджета») плановые назначения по профициту областного бюджета составили 1420611,5 тыс. рублей, что соответствует плановым назначениям, утвержденным на 2017 год законом об областном бюджете (с учетом внесенных изменений), плановым назначениям, утвержденным сводной бюджетной росписью источников финансирования дефицита областного бюджета. </w:t>
      </w:r>
    </w:p>
    <w:p w:rsidR="009C45F8" w:rsidRPr="00BE152B" w:rsidRDefault="009C45F8" w:rsidP="00CC7DCD">
      <w:pPr>
        <w:autoSpaceDE w:val="0"/>
        <w:autoSpaceDN w:val="0"/>
        <w:adjustRightInd w:val="0"/>
        <w:spacing w:after="0" w:line="240" w:lineRule="auto"/>
        <w:ind w:firstLine="709"/>
        <w:jc w:val="both"/>
        <w:outlineLvl w:val="3"/>
        <w:rPr>
          <w:rFonts w:ascii="Times New Roman" w:hAnsi="Times New Roman" w:cs="Times New Roman"/>
          <w:spacing w:val="6"/>
          <w:sz w:val="24"/>
          <w:szCs w:val="24"/>
        </w:rPr>
      </w:pPr>
      <w:r>
        <w:rPr>
          <w:rFonts w:ascii="Times New Roman" w:hAnsi="Times New Roman" w:cs="Times New Roman"/>
          <w:sz w:val="24"/>
          <w:szCs w:val="24"/>
        </w:rPr>
        <w:t>О</w:t>
      </w:r>
      <w:r w:rsidRPr="00813B33">
        <w:rPr>
          <w:rFonts w:ascii="Times New Roman" w:hAnsi="Times New Roman" w:cs="Times New Roman"/>
          <w:spacing w:val="6"/>
          <w:sz w:val="24"/>
          <w:szCs w:val="24"/>
        </w:rPr>
        <w:t xml:space="preserve">бластной бюджет </w:t>
      </w:r>
      <w:r>
        <w:rPr>
          <w:rFonts w:ascii="Times New Roman" w:hAnsi="Times New Roman" w:cs="Times New Roman"/>
          <w:spacing w:val="6"/>
          <w:sz w:val="24"/>
          <w:szCs w:val="24"/>
        </w:rPr>
        <w:t xml:space="preserve">за </w:t>
      </w:r>
      <w:r w:rsidRPr="00813B33">
        <w:rPr>
          <w:rFonts w:ascii="Times New Roman" w:hAnsi="Times New Roman" w:cs="Times New Roman"/>
          <w:spacing w:val="6"/>
          <w:sz w:val="24"/>
          <w:szCs w:val="24"/>
        </w:rPr>
        <w:t xml:space="preserve">2017 года исполнен с профицитом в сумме 2828691,5 тыс. рублей. </w:t>
      </w:r>
      <w:r>
        <w:rPr>
          <w:rFonts w:ascii="Times New Roman" w:hAnsi="Times New Roman" w:cs="Times New Roman"/>
          <w:spacing w:val="6"/>
          <w:sz w:val="24"/>
          <w:szCs w:val="24"/>
        </w:rPr>
        <w:t>И</w:t>
      </w:r>
      <w:r w:rsidRPr="001A299F">
        <w:rPr>
          <w:rFonts w:ascii="Times New Roman" w:hAnsi="Times New Roman" w:cs="Times New Roman"/>
          <w:spacing w:val="6"/>
          <w:sz w:val="24"/>
          <w:szCs w:val="24"/>
        </w:rPr>
        <w:t>сполнение</w:t>
      </w:r>
      <w:r>
        <w:rPr>
          <w:rFonts w:ascii="Times New Roman" w:hAnsi="Times New Roman" w:cs="Times New Roman"/>
          <w:spacing w:val="6"/>
          <w:sz w:val="24"/>
          <w:szCs w:val="24"/>
        </w:rPr>
        <w:t xml:space="preserve"> по источникам внутреннего финансирования дефицита областного бюджета за 2017 год </w:t>
      </w:r>
      <w:r w:rsidRPr="001A299F">
        <w:rPr>
          <w:rFonts w:ascii="Times New Roman" w:hAnsi="Times New Roman" w:cs="Times New Roman"/>
          <w:spacing w:val="6"/>
          <w:sz w:val="24"/>
          <w:szCs w:val="24"/>
        </w:rPr>
        <w:t xml:space="preserve">приведено в </w:t>
      </w:r>
      <w:r w:rsidRPr="00BE152B">
        <w:rPr>
          <w:rFonts w:ascii="Times New Roman" w:hAnsi="Times New Roman" w:cs="Times New Roman"/>
          <w:spacing w:val="6"/>
          <w:sz w:val="24"/>
          <w:szCs w:val="24"/>
        </w:rPr>
        <w:t>таблице 2.</w:t>
      </w:r>
    </w:p>
    <w:p w:rsidR="009C45F8" w:rsidRPr="009070B2" w:rsidRDefault="009C45F8" w:rsidP="009070B2">
      <w:pPr>
        <w:autoSpaceDE w:val="0"/>
        <w:autoSpaceDN w:val="0"/>
        <w:adjustRightInd w:val="0"/>
        <w:spacing w:after="0" w:line="240" w:lineRule="auto"/>
        <w:ind w:firstLine="709"/>
        <w:jc w:val="right"/>
        <w:outlineLvl w:val="1"/>
        <w:rPr>
          <w:rFonts w:ascii="Times New Roman" w:hAnsi="Times New Roman" w:cs="Times New Roman"/>
          <w:bCs/>
          <w:iCs/>
          <w:sz w:val="24"/>
          <w:szCs w:val="24"/>
        </w:rPr>
      </w:pPr>
      <w:r w:rsidRPr="009070B2">
        <w:rPr>
          <w:rFonts w:ascii="Times New Roman" w:hAnsi="Times New Roman" w:cs="Times New Roman"/>
          <w:bCs/>
          <w:iCs/>
          <w:sz w:val="24"/>
          <w:szCs w:val="24"/>
        </w:rPr>
        <w:t>Таблица 2</w:t>
      </w:r>
    </w:p>
    <w:p w:rsidR="009C45F8" w:rsidRPr="00813B33" w:rsidRDefault="009C45F8" w:rsidP="009070B2">
      <w:pPr>
        <w:autoSpaceDE w:val="0"/>
        <w:autoSpaceDN w:val="0"/>
        <w:adjustRightInd w:val="0"/>
        <w:spacing w:after="0" w:line="240" w:lineRule="auto"/>
        <w:ind w:firstLine="709"/>
        <w:jc w:val="center"/>
        <w:outlineLvl w:val="1"/>
        <w:rPr>
          <w:rFonts w:ascii="Times New Roman" w:hAnsi="Times New Roman" w:cs="Times New Roman"/>
          <w:b/>
          <w:bCs/>
          <w:iCs/>
          <w:sz w:val="24"/>
          <w:szCs w:val="24"/>
        </w:rPr>
      </w:pPr>
      <w:r w:rsidRPr="00813B33">
        <w:rPr>
          <w:rFonts w:ascii="Times New Roman" w:hAnsi="Times New Roman" w:cs="Times New Roman"/>
          <w:b/>
          <w:bCs/>
          <w:iCs/>
          <w:sz w:val="24"/>
          <w:szCs w:val="24"/>
        </w:rPr>
        <w:t>Анализ исполнения по источникам внутреннего финансирования дефицита областного бюджета за 2017 год</w:t>
      </w:r>
    </w:p>
    <w:p w:rsidR="009C45F8" w:rsidRPr="00813B33" w:rsidRDefault="009C45F8" w:rsidP="009C45F8">
      <w:pPr>
        <w:autoSpaceDE w:val="0"/>
        <w:autoSpaceDN w:val="0"/>
        <w:adjustRightInd w:val="0"/>
        <w:spacing w:after="0" w:line="240" w:lineRule="auto"/>
        <w:ind w:firstLine="709"/>
        <w:jc w:val="right"/>
        <w:outlineLvl w:val="1"/>
        <w:rPr>
          <w:rFonts w:ascii="Times New Roman" w:hAnsi="Times New Roman" w:cs="Times New Roman"/>
          <w:bCs/>
          <w:iCs/>
          <w:sz w:val="24"/>
          <w:szCs w:val="24"/>
        </w:rPr>
      </w:pPr>
      <w:r w:rsidRPr="00813B33">
        <w:rPr>
          <w:rFonts w:ascii="Times New Roman" w:hAnsi="Times New Roman" w:cs="Times New Roman"/>
          <w:bCs/>
          <w:iCs/>
          <w:sz w:val="24"/>
          <w:szCs w:val="24"/>
        </w:rPr>
        <w:t>тыс. рублей</w:t>
      </w:r>
    </w:p>
    <w:tbl>
      <w:tblPr>
        <w:tblW w:w="10040" w:type="dxa"/>
        <w:jc w:val="center"/>
        <w:tblInd w:w="-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447"/>
        <w:gridCol w:w="1701"/>
        <w:gridCol w:w="1418"/>
        <w:gridCol w:w="1474"/>
      </w:tblGrid>
      <w:tr w:rsidR="009C45F8" w:rsidRPr="00813B33" w:rsidTr="009C45F8">
        <w:trPr>
          <w:tblHeader/>
          <w:jc w:val="center"/>
        </w:trPr>
        <w:tc>
          <w:tcPr>
            <w:tcW w:w="5447" w:type="dxa"/>
            <w:tcBorders>
              <w:top w:val="single" w:sz="4" w:space="0" w:color="auto"/>
              <w:left w:val="single" w:sz="4" w:space="0" w:color="auto"/>
              <w:bottom w:val="single" w:sz="4" w:space="0" w:color="auto"/>
            </w:tcBorders>
            <w:hideMark/>
          </w:tcPr>
          <w:p w:rsidR="009C45F8" w:rsidRPr="00813B33" w:rsidRDefault="009C45F8" w:rsidP="009C45F8">
            <w:pPr>
              <w:spacing w:after="0" w:line="240" w:lineRule="auto"/>
              <w:jc w:val="center"/>
              <w:rPr>
                <w:rFonts w:ascii="Times New Roman" w:hAnsi="Times New Roman" w:cs="Times New Roman"/>
                <w:b/>
              </w:rPr>
            </w:pPr>
            <w:r w:rsidRPr="00813B33">
              <w:rPr>
                <w:rFonts w:ascii="Times New Roman" w:hAnsi="Times New Roman" w:cs="Times New Roman"/>
                <w:b/>
              </w:rPr>
              <w:t>Наименование</w:t>
            </w:r>
          </w:p>
        </w:tc>
        <w:tc>
          <w:tcPr>
            <w:tcW w:w="1701" w:type="dxa"/>
            <w:tcBorders>
              <w:top w:val="single" w:sz="4" w:space="0" w:color="auto"/>
              <w:bottom w:val="single" w:sz="4" w:space="0" w:color="auto"/>
            </w:tcBorders>
            <w:hideMark/>
          </w:tcPr>
          <w:p w:rsidR="009C45F8" w:rsidRPr="00813B33" w:rsidRDefault="009C45F8" w:rsidP="009C45F8">
            <w:pPr>
              <w:spacing w:after="0" w:line="240" w:lineRule="auto"/>
              <w:jc w:val="center"/>
              <w:rPr>
                <w:rFonts w:ascii="Times New Roman" w:hAnsi="Times New Roman" w:cs="Times New Roman"/>
                <w:b/>
              </w:rPr>
            </w:pPr>
            <w:r w:rsidRPr="00813B33">
              <w:rPr>
                <w:rFonts w:ascii="Times New Roman" w:hAnsi="Times New Roman" w:cs="Times New Roman"/>
                <w:b/>
              </w:rPr>
              <w:t xml:space="preserve">Плановые назначения </w:t>
            </w:r>
          </w:p>
          <w:p w:rsidR="009C45F8" w:rsidRPr="00813B33" w:rsidRDefault="009C45F8" w:rsidP="009C45F8">
            <w:pPr>
              <w:spacing w:after="0" w:line="240" w:lineRule="auto"/>
              <w:jc w:val="center"/>
              <w:rPr>
                <w:rFonts w:ascii="Times New Roman" w:hAnsi="Times New Roman" w:cs="Times New Roman"/>
                <w:b/>
              </w:rPr>
            </w:pPr>
            <w:r w:rsidRPr="00813B33">
              <w:rPr>
                <w:rFonts w:ascii="Times New Roman" w:hAnsi="Times New Roman" w:cs="Times New Roman"/>
                <w:b/>
              </w:rPr>
              <w:t>на 2017 год</w:t>
            </w:r>
          </w:p>
        </w:tc>
        <w:tc>
          <w:tcPr>
            <w:tcW w:w="1418" w:type="dxa"/>
            <w:tcBorders>
              <w:top w:val="single" w:sz="4" w:space="0" w:color="auto"/>
              <w:bottom w:val="single" w:sz="4" w:space="0" w:color="auto"/>
            </w:tcBorders>
            <w:vAlign w:val="center"/>
            <w:hideMark/>
          </w:tcPr>
          <w:p w:rsidR="009C45F8" w:rsidRPr="00813B33" w:rsidRDefault="009C45F8" w:rsidP="009C45F8">
            <w:pPr>
              <w:spacing w:after="0" w:line="240" w:lineRule="auto"/>
              <w:jc w:val="center"/>
              <w:rPr>
                <w:rFonts w:ascii="Times New Roman" w:hAnsi="Times New Roman" w:cs="Times New Roman"/>
                <w:b/>
              </w:rPr>
            </w:pPr>
            <w:r w:rsidRPr="00813B33">
              <w:rPr>
                <w:rFonts w:ascii="Times New Roman" w:hAnsi="Times New Roman" w:cs="Times New Roman"/>
                <w:b/>
              </w:rPr>
              <w:t>Исполнено</w:t>
            </w:r>
          </w:p>
        </w:tc>
        <w:tc>
          <w:tcPr>
            <w:tcW w:w="1474" w:type="dxa"/>
            <w:tcBorders>
              <w:top w:val="single" w:sz="4" w:space="0" w:color="auto"/>
              <w:bottom w:val="single" w:sz="4" w:space="0" w:color="auto"/>
              <w:right w:val="single" w:sz="4" w:space="0" w:color="auto"/>
            </w:tcBorders>
            <w:hideMark/>
          </w:tcPr>
          <w:p w:rsidR="009C45F8" w:rsidRPr="00813B33" w:rsidRDefault="009C45F8" w:rsidP="009C45F8">
            <w:pPr>
              <w:spacing w:after="0" w:line="240" w:lineRule="auto"/>
              <w:jc w:val="center"/>
              <w:rPr>
                <w:rFonts w:ascii="Times New Roman" w:hAnsi="Times New Roman" w:cs="Times New Roman"/>
                <w:b/>
              </w:rPr>
            </w:pPr>
            <w:r w:rsidRPr="00813B33">
              <w:rPr>
                <w:rFonts w:ascii="Times New Roman" w:hAnsi="Times New Roman" w:cs="Times New Roman"/>
                <w:b/>
              </w:rPr>
              <w:t>Уровень исполнения, %</w:t>
            </w:r>
          </w:p>
        </w:tc>
      </w:tr>
      <w:tr w:rsidR="009C45F8" w:rsidRPr="00813B33" w:rsidTr="009C45F8">
        <w:trPr>
          <w:jc w:val="center"/>
        </w:trPr>
        <w:tc>
          <w:tcPr>
            <w:tcW w:w="5447" w:type="dxa"/>
            <w:tcBorders>
              <w:top w:val="single" w:sz="4" w:space="0" w:color="auto"/>
            </w:tcBorders>
            <w:hideMark/>
          </w:tcPr>
          <w:p w:rsidR="009C45F8" w:rsidRPr="00813B33" w:rsidRDefault="009C45F8" w:rsidP="009C45F8">
            <w:pPr>
              <w:spacing w:after="0" w:line="240" w:lineRule="auto"/>
              <w:ind w:left="-36"/>
              <w:rPr>
                <w:rFonts w:ascii="Times New Roman" w:hAnsi="Times New Roman" w:cs="Times New Roman"/>
                <w:sz w:val="24"/>
                <w:szCs w:val="24"/>
              </w:rPr>
            </w:pPr>
            <w:r w:rsidRPr="00813B33">
              <w:rPr>
                <w:rFonts w:ascii="Times New Roman" w:hAnsi="Times New Roman" w:cs="Times New Roman"/>
                <w:sz w:val="24"/>
                <w:szCs w:val="24"/>
              </w:rPr>
              <w:t xml:space="preserve">1.Кредиты кредитных организаций в валюте Российской Федерации </w:t>
            </w:r>
          </w:p>
        </w:tc>
        <w:tc>
          <w:tcPr>
            <w:tcW w:w="1701" w:type="dxa"/>
            <w:tcBorders>
              <w:top w:val="single" w:sz="4" w:space="0" w:color="auto"/>
            </w:tcBorders>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-1400141,1</w:t>
            </w:r>
          </w:p>
        </w:tc>
        <w:tc>
          <w:tcPr>
            <w:tcW w:w="1418" w:type="dxa"/>
            <w:tcBorders>
              <w:top w:val="single" w:sz="4" w:space="0" w:color="auto"/>
            </w:tcBorders>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-1459332,4</w:t>
            </w:r>
          </w:p>
        </w:tc>
        <w:tc>
          <w:tcPr>
            <w:tcW w:w="1474" w:type="dxa"/>
            <w:tcBorders>
              <w:top w:val="single" w:sz="4" w:space="0" w:color="auto"/>
            </w:tcBorders>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104,2</w:t>
            </w:r>
          </w:p>
        </w:tc>
      </w:tr>
      <w:tr w:rsidR="009C45F8" w:rsidRPr="00813B33" w:rsidTr="009C45F8">
        <w:trPr>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 xml:space="preserve">  1.1.Получение кредитов от кредитных организаций в валюте Российской Федерации </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9118287,1</w:t>
            </w:r>
          </w:p>
        </w:tc>
        <w:tc>
          <w:tcPr>
            <w:tcW w:w="1418"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9059095,8</w:t>
            </w:r>
          </w:p>
        </w:tc>
        <w:tc>
          <w:tcPr>
            <w:tcW w:w="1474"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99,4</w:t>
            </w:r>
          </w:p>
        </w:tc>
      </w:tr>
      <w:tr w:rsidR="009C45F8" w:rsidRPr="00813B33" w:rsidTr="009C45F8">
        <w:trPr>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 xml:space="preserve">  1.2.Погашение кредитов, предоставленных кредитными организациями в валюте Российской Федерации</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-10518428,2</w:t>
            </w:r>
          </w:p>
        </w:tc>
        <w:tc>
          <w:tcPr>
            <w:tcW w:w="1418"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-10518428,2</w:t>
            </w:r>
          </w:p>
        </w:tc>
        <w:tc>
          <w:tcPr>
            <w:tcW w:w="1474"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100,0</w:t>
            </w:r>
          </w:p>
        </w:tc>
      </w:tr>
      <w:tr w:rsidR="009C45F8" w:rsidRPr="00813B33" w:rsidTr="009C45F8">
        <w:trPr>
          <w:jc w:val="center"/>
        </w:trPr>
        <w:tc>
          <w:tcPr>
            <w:tcW w:w="5447" w:type="dxa"/>
            <w:hideMark/>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2.Бюджетные кредиты от других бюджетов бюджетной системы Российской Федерации</w:t>
            </w:r>
          </w:p>
        </w:tc>
        <w:tc>
          <w:tcPr>
            <w:tcW w:w="1701"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-1418055,5</w:t>
            </w:r>
          </w:p>
        </w:tc>
        <w:tc>
          <w:tcPr>
            <w:tcW w:w="1418"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-1418055,5</w:t>
            </w:r>
          </w:p>
        </w:tc>
        <w:tc>
          <w:tcPr>
            <w:tcW w:w="1474"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100,0</w:t>
            </w:r>
          </w:p>
        </w:tc>
      </w:tr>
      <w:tr w:rsidR="009C45F8" w:rsidRPr="00813B33" w:rsidTr="009C45F8">
        <w:trPr>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 xml:space="preserve">  2.1.Получение бюджетных кредитов от других бюджетов бюджетной системы Российской Федерации бюджетами субъектов Российской Федерации в валюте Российской Федерации </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1289442,0</w:t>
            </w:r>
          </w:p>
        </w:tc>
        <w:tc>
          <w:tcPr>
            <w:tcW w:w="1418"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1289442,0</w:t>
            </w:r>
          </w:p>
        </w:tc>
        <w:tc>
          <w:tcPr>
            <w:tcW w:w="1474"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100,0</w:t>
            </w:r>
          </w:p>
        </w:tc>
      </w:tr>
      <w:tr w:rsidR="009C45F8" w:rsidRPr="00813B33" w:rsidTr="009C45F8">
        <w:trPr>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 xml:space="preserve">  2.2.Погашение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-2707497,5</w:t>
            </w:r>
          </w:p>
        </w:tc>
        <w:tc>
          <w:tcPr>
            <w:tcW w:w="1418"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-2707497,5</w:t>
            </w:r>
          </w:p>
        </w:tc>
        <w:tc>
          <w:tcPr>
            <w:tcW w:w="1474"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100,0</w:t>
            </w:r>
          </w:p>
        </w:tc>
      </w:tr>
      <w:tr w:rsidR="009C45F8" w:rsidRPr="00813B33" w:rsidTr="009C45F8">
        <w:trPr>
          <w:trHeight w:val="488"/>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3. Иные источники внутреннего финансирования дефицитов бюджетов</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91645,1</w:t>
            </w:r>
          </w:p>
        </w:tc>
        <w:tc>
          <w:tcPr>
            <w:tcW w:w="1418"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81622,2</w:t>
            </w:r>
          </w:p>
        </w:tc>
        <w:tc>
          <w:tcPr>
            <w:tcW w:w="1474"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89,1</w:t>
            </w:r>
          </w:p>
        </w:tc>
      </w:tr>
      <w:tr w:rsidR="009C45F8" w:rsidRPr="00813B33" w:rsidTr="009C45F8">
        <w:trPr>
          <w:trHeight w:val="488"/>
          <w:jc w:val="center"/>
        </w:trPr>
        <w:tc>
          <w:tcPr>
            <w:tcW w:w="5447" w:type="dxa"/>
            <w:hideMark/>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3.1. Исполнение государственных гарантий в валюте Российской Федерации</w:t>
            </w:r>
          </w:p>
        </w:tc>
        <w:tc>
          <w:tcPr>
            <w:tcW w:w="1701"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-109481,2</w:t>
            </w:r>
          </w:p>
        </w:tc>
        <w:tc>
          <w:tcPr>
            <w:tcW w:w="1418"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c>
          <w:tcPr>
            <w:tcW w:w="1474"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r w:rsidR="009C45F8" w:rsidRPr="00813B33" w:rsidTr="009C45F8">
        <w:trPr>
          <w:trHeight w:val="915"/>
          <w:jc w:val="center"/>
        </w:trPr>
        <w:tc>
          <w:tcPr>
            <w:tcW w:w="5447" w:type="dxa"/>
            <w:hideMark/>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 xml:space="preserve">  3.1.1.Исполнение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-109481,2</w:t>
            </w:r>
          </w:p>
        </w:tc>
        <w:tc>
          <w:tcPr>
            <w:tcW w:w="1418"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c>
          <w:tcPr>
            <w:tcW w:w="1474"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r w:rsidR="009C45F8" w:rsidRPr="00813B33" w:rsidTr="009C45F8">
        <w:trPr>
          <w:trHeight w:val="569"/>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t>3.Акции и иные формы участия в капитале, находящиеся в государственной и муниципальной собственности</w:t>
            </w:r>
          </w:p>
        </w:tc>
        <w:tc>
          <w:tcPr>
            <w:tcW w:w="1701" w:type="dxa"/>
            <w:vAlign w:val="bottom"/>
          </w:tcPr>
          <w:p w:rsidR="009C45F8" w:rsidRPr="00813B33" w:rsidRDefault="009C45F8" w:rsidP="009C45F8">
            <w:pPr>
              <w:tabs>
                <w:tab w:val="center" w:pos="431"/>
              </w:tabs>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c>
          <w:tcPr>
            <w:tcW w:w="1418" w:type="dxa"/>
            <w:vAlign w:val="bottom"/>
          </w:tcPr>
          <w:p w:rsidR="009C45F8" w:rsidRPr="00813B33" w:rsidRDefault="009C45F8" w:rsidP="009C45F8">
            <w:pPr>
              <w:tabs>
                <w:tab w:val="center" w:pos="431"/>
              </w:tabs>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0,1</w:t>
            </w:r>
          </w:p>
        </w:tc>
        <w:tc>
          <w:tcPr>
            <w:tcW w:w="1474" w:type="dxa"/>
            <w:vAlign w:val="bottom"/>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r w:rsidR="009C45F8" w:rsidRPr="00813B33" w:rsidTr="009C45F8">
        <w:trPr>
          <w:trHeight w:val="569"/>
          <w:jc w:val="center"/>
        </w:trPr>
        <w:tc>
          <w:tcPr>
            <w:tcW w:w="5447" w:type="dxa"/>
          </w:tcPr>
          <w:p w:rsidR="009C45F8" w:rsidRPr="00813B33" w:rsidRDefault="009C45F8" w:rsidP="009C45F8">
            <w:pPr>
              <w:spacing w:after="0" w:line="240" w:lineRule="auto"/>
              <w:ind w:left="-36"/>
              <w:jc w:val="both"/>
              <w:rPr>
                <w:rFonts w:ascii="Times New Roman" w:hAnsi="Times New Roman" w:cs="Times New Roman"/>
                <w:sz w:val="24"/>
                <w:szCs w:val="24"/>
              </w:rPr>
            </w:pPr>
            <w:r w:rsidRPr="00813B33">
              <w:rPr>
                <w:rFonts w:ascii="Times New Roman" w:hAnsi="Times New Roman" w:cs="Times New Roman"/>
                <w:sz w:val="24"/>
                <w:szCs w:val="24"/>
              </w:rPr>
              <w:lastRenderedPageBreak/>
              <w:t xml:space="preserve">  3.1. Средства от продажи акций и иных форм участия в капитале, находящихся в собственности бюджетов субъектов Российской Федерации</w:t>
            </w:r>
          </w:p>
        </w:tc>
        <w:tc>
          <w:tcPr>
            <w:tcW w:w="1701" w:type="dxa"/>
            <w:vAlign w:val="bottom"/>
          </w:tcPr>
          <w:p w:rsidR="009C45F8" w:rsidRPr="00813B33" w:rsidRDefault="009C45F8" w:rsidP="009C45F8">
            <w:pPr>
              <w:tabs>
                <w:tab w:val="center" w:pos="431"/>
              </w:tabs>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c>
          <w:tcPr>
            <w:tcW w:w="1418" w:type="dxa"/>
            <w:vAlign w:val="bottom"/>
          </w:tcPr>
          <w:p w:rsidR="009C45F8" w:rsidRPr="00813B33" w:rsidRDefault="009C45F8" w:rsidP="009C45F8">
            <w:pPr>
              <w:tabs>
                <w:tab w:val="center" w:pos="431"/>
              </w:tabs>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0,1</w:t>
            </w:r>
          </w:p>
        </w:tc>
        <w:tc>
          <w:tcPr>
            <w:tcW w:w="1474" w:type="dxa"/>
            <w:vAlign w:val="bottom"/>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r w:rsidR="009C45F8" w:rsidRPr="00813B33" w:rsidTr="009C45F8">
        <w:trPr>
          <w:trHeight w:val="569"/>
          <w:jc w:val="center"/>
        </w:trPr>
        <w:tc>
          <w:tcPr>
            <w:tcW w:w="5447" w:type="dxa"/>
            <w:hideMark/>
          </w:tcPr>
          <w:p w:rsidR="009C45F8" w:rsidRPr="00813B33" w:rsidRDefault="009C45F8" w:rsidP="009C45F8">
            <w:pPr>
              <w:spacing w:after="0" w:line="240" w:lineRule="auto"/>
              <w:jc w:val="both"/>
              <w:rPr>
                <w:rFonts w:ascii="Times New Roman" w:hAnsi="Times New Roman" w:cs="Times New Roman"/>
                <w:sz w:val="24"/>
                <w:szCs w:val="24"/>
              </w:rPr>
            </w:pPr>
            <w:r w:rsidRPr="00813B33">
              <w:rPr>
                <w:rFonts w:ascii="Times New Roman" w:hAnsi="Times New Roman" w:cs="Times New Roman"/>
                <w:sz w:val="24"/>
                <w:szCs w:val="24"/>
              </w:rPr>
              <w:t>3.3.Бюджетные кредиты, предоставленные внутри страны в валюте Российской Федерации</w:t>
            </w:r>
          </w:p>
        </w:tc>
        <w:tc>
          <w:tcPr>
            <w:tcW w:w="1701" w:type="dxa"/>
            <w:vAlign w:val="bottom"/>
            <w:hideMark/>
          </w:tcPr>
          <w:p w:rsidR="009C45F8" w:rsidRPr="00813B33" w:rsidRDefault="009C45F8" w:rsidP="009C45F8">
            <w:pPr>
              <w:tabs>
                <w:tab w:val="center" w:pos="431"/>
              </w:tabs>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201126,3</w:t>
            </w:r>
          </w:p>
        </w:tc>
        <w:tc>
          <w:tcPr>
            <w:tcW w:w="1418" w:type="dxa"/>
            <w:vAlign w:val="bottom"/>
            <w:hideMark/>
          </w:tcPr>
          <w:p w:rsidR="009C45F8" w:rsidRPr="00813B33" w:rsidRDefault="009C45F8" w:rsidP="009C45F8">
            <w:pPr>
              <w:tabs>
                <w:tab w:val="center" w:pos="431"/>
              </w:tabs>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81622,1</w:t>
            </w:r>
          </w:p>
        </w:tc>
        <w:tc>
          <w:tcPr>
            <w:tcW w:w="1474"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40,6</w:t>
            </w:r>
          </w:p>
        </w:tc>
      </w:tr>
      <w:tr w:rsidR="009C45F8" w:rsidRPr="00813B33" w:rsidTr="009C45F8">
        <w:trPr>
          <w:jc w:val="center"/>
        </w:trPr>
        <w:tc>
          <w:tcPr>
            <w:tcW w:w="5447" w:type="dxa"/>
          </w:tcPr>
          <w:p w:rsidR="009C45F8" w:rsidRPr="00813B33" w:rsidRDefault="009C45F8" w:rsidP="009070B2">
            <w:pPr>
              <w:spacing w:after="0" w:line="240" w:lineRule="auto"/>
              <w:jc w:val="both"/>
              <w:rPr>
                <w:rFonts w:ascii="Times New Roman" w:hAnsi="Times New Roman" w:cs="Times New Roman"/>
                <w:sz w:val="24"/>
                <w:szCs w:val="24"/>
              </w:rPr>
            </w:pPr>
            <w:r w:rsidRPr="00813B33">
              <w:rPr>
                <w:rFonts w:ascii="Times New Roman" w:hAnsi="Times New Roman" w:cs="Times New Roman"/>
                <w:sz w:val="24"/>
                <w:szCs w:val="24"/>
              </w:rPr>
              <w:t>3.3.1. Возврат средств юридическими лицами в счет исполненных государственных гарантий Амурской области в случае, если исполнение гарантом государственных гарантий области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109481,2</w:t>
            </w:r>
          </w:p>
        </w:tc>
        <w:tc>
          <w:tcPr>
            <w:tcW w:w="1418" w:type="dxa"/>
            <w:vAlign w:val="bottom"/>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c>
          <w:tcPr>
            <w:tcW w:w="1474" w:type="dxa"/>
            <w:vAlign w:val="bottom"/>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r w:rsidR="009C45F8" w:rsidRPr="00813B33" w:rsidTr="009C45F8">
        <w:trPr>
          <w:jc w:val="center"/>
        </w:trPr>
        <w:tc>
          <w:tcPr>
            <w:tcW w:w="5447" w:type="dxa"/>
          </w:tcPr>
          <w:p w:rsidR="009C45F8" w:rsidRPr="00813B33" w:rsidRDefault="009C45F8" w:rsidP="009C45F8">
            <w:pPr>
              <w:spacing w:after="0" w:line="240" w:lineRule="auto"/>
              <w:jc w:val="both"/>
              <w:rPr>
                <w:rFonts w:ascii="Times New Roman" w:hAnsi="Times New Roman" w:cs="Times New Roman"/>
                <w:sz w:val="24"/>
                <w:szCs w:val="24"/>
              </w:rPr>
            </w:pPr>
            <w:r w:rsidRPr="00813B33">
              <w:rPr>
                <w:rFonts w:ascii="Times New Roman" w:hAnsi="Times New Roman" w:cs="Times New Roman"/>
                <w:sz w:val="24"/>
                <w:szCs w:val="24"/>
              </w:rPr>
              <w:t>3.3.2.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01"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91645,1</w:t>
            </w:r>
          </w:p>
        </w:tc>
        <w:tc>
          <w:tcPr>
            <w:tcW w:w="1418"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81622,1</w:t>
            </w:r>
          </w:p>
        </w:tc>
        <w:tc>
          <w:tcPr>
            <w:tcW w:w="1474" w:type="dxa"/>
            <w:vAlign w:val="bottom"/>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89,1</w:t>
            </w:r>
          </w:p>
        </w:tc>
      </w:tr>
      <w:tr w:rsidR="009C45F8" w:rsidRPr="00813B33" w:rsidTr="009C45F8">
        <w:trPr>
          <w:jc w:val="center"/>
        </w:trPr>
        <w:tc>
          <w:tcPr>
            <w:tcW w:w="5447" w:type="dxa"/>
            <w:hideMark/>
          </w:tcPr>
          <w:p w:rsidR="009C45F8" w:rsidRPr="00813B33" w:rsidRDefault="009C45F8" w:rsidP="009C45F8">
            <w:pPr>
              <w:spacing w:after="0" w:line="240" w:lineRule="auto"/>
              <w:jc w:val="both"/>
              <w:rPr>
                <w:rFonts w:ascii="Times New Roman" w:hAnsi="Times New Roman" w:cs="Times New Roman"/>
                <w:sz w:val="24"/>
                <w:szCs w:val="24"/>
              </w:rPr>
            </w:pPr>
            <w:r w:rsidRPr="00813B33">
              <w:rPr>
                <w:rFonts w:ascii="Times New Roman" w:hAnsi="Times New Roman" w:cs="Times New Roman"/>
                <w:sz w:val="24"/>
                <w:szCs w:val="24"/>
              </w:rPr>
              <w:t>4.Изменение остатков средств на счетах по учету средств бюджета</w:t>
            </w:r>
          </w:p>
        </w:tc>
        <w:tc>
          <w:tcPr>
            <w:tcW w:w="1701"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1305940,0</w:t>
            </w:r>
          </w:p>
        </w:tc>
        <w:tc>
          <w:tcPr>
            <w:tcW w:w="1418" w:type="dxa"/>
            <w:vAlign w:val="bottom"/>
            <w:hideMark/>
          </w:tcPr>
          <w:p w:rsidR="009C45F8" w:rsidRPr="00813B33" w:rsidRDefault="009C45F8" w:rsidP="009C45F8">
            <w:pPr>
              <w:spacing w:after="0" w:line="240" w:lineRule="auto"/>
              <w:jc w:val="center"/>
              <w:rPr>
                <w:rFonts w:ascii="Times New Roman" w:hAnsi="Times New Roman" w:cs="Times New Roman"/>
                <w:sz w:val="24"/>
                <w:szCs w:val="24"/>
              </w:rPr>
            </w:pPr>
            <w:r w:rsidRPr="00813B33">
              <w:rPr>
                <w:rFonts w:ascii="Times New Roman" w:hAnsi="Times New Roman" w:cs="Times New Roman"/>
                <w:sz w:val="24"/>
                <w:szCs w:val="24"/>
              </w:rPr>
              <w:t>-32925,8*</w:t>
            </w:r>
          </w:p>
        </w:tc>
        <w:tc>
          <w:tcPr>
            <w:tcW w:w="1474"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r w:rsidR="009C45F8" w:rsidRPr="00813B33" w:rsidTr="009C45F8">
        <w:trPr>
          <w:jc w:val="center"/>
        </w:trPr>
        <w:tc>
          <w:tcPr>
            <w:tcW w:w="5447" w:type="dxa"/>
            <w:hideMark/>
          </w:tcPr>
          <w:p w:rsidR="009C45F8" w:rsidRPr="00813B33" w:rsidRDefault="009C45F8" w:rsidP="009C45F8">
            <w:pPr>
              <w:spacing w:after="0" w:line="240" w:lineRule="auto"/>
              <w:ind w:left="-36"/>
              <w:jc w:val="both"/>
              <w:rPr>
                <w:rFonts w:ascii="Times New Roman" w:hAnsi="Times New Roman" w:cs="Times New Roman"/>
                <w:b/>
                <w:sz w:val="24"/>
                <w:szCs w:val="24"/>
              </w:rPr>
            </w:pPr>
            <w:r w:rsidRPr="00813B33">
              <w:rPr>
                <w:rFonts w:ascii="Times New Roman" w:hAnsi="Times New Roman" w:cs="Times New Roman"/>
                <w:b/>
                <w:sz w:val="24"/>
                <w:szCs w:val="24"/>
              </w:rPr>
              <w:t>Итого источников внутреннего финансирования</w:t>
            </w:r>
          </w:p>
        </w:tc>
        <w:tc>
          <w:tcPr>
            <w:tcW w:w="1701"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-1420611,5</w:t>
            </w:r>
          </w:p>
        </w:tc>
        <w:tc>
          <w:tcPr>
            <w:tcW w:w="1418"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-2828691,5</w:t>
            </w:r>
          </w:p>
        </w:tc>
        <w:tc>
          <w:tcPr>
            <w:tcW w:w="1474" w:type="dxa"/>
            <w:vAlign w:val="bottom"/>
            <w:hideMark/>
          </w:tcPr>
          <w:p w:rsidR="009C45F8" w:rsidRPr="00813B33" w:rsidRDefault="009C45F8" w:rsidP="009C45F8">
            <w:pPr>
              <w:spacing w:after="0" w:line="240" w:lineRule="auto"/>
              <w:jc w:val="center"/>
              <w:rPr>
                <w:rFonts w:ascii="Times New Roman" w:hAnsi="Times New Roman" w:cs="Times New Roman"/>
                <w:b/>
                <w:sz w:val="24"/>
                <w:szCs w:val="24"/>
              </w:rPr>
            </w:pPr>
            <w:r w:rsidRPr="00813B33">
              <w:rPr>
                <w:rFonts w:ascii="Times New Roman" w:hAnsi="Times New Roman" w:cs="Times New Roman"/>
                <w:b/>
                <w:sz w:val="24"/>
                <w:szCs w:val="24"/>
              </w:rPr>
              <w:t>-</w:t>
            </w:r>
          </w:p>
        </w:tc>
      </w:tr>
    </w:tbl>
    <w:p w:rsidR="009C45F8" w:rsidRPr="00813B33" w:rsidRDefault="009C45F8" w:rsidP="009C45F8">
      <w:pPr>
        <w:spacing w:after="0" w:line="240" w:lineRule="auto"/>
        <w:jc w:val="both"/>
        <w:rPr>
          <w:rFonts w:ascii="Times New Roman" w:hAnsi="Times New Roman" w:cs="Times New Roman"/>
          <w:sz w:val="24"/>
          <w:szCs w:val="24"/>
        </w:rPr>
      </w:pPr>
      <w:r w:rsidRPr="00813B33">
        <w:rPr>
          <w:rFonts w:ascii="Times New Roman" w:hAnsi="Times New Roman" w:cs="Times New Roman"/>
          <w:sz w:val="24"/>
          <w:szCs w:val="24"/>
        </w:rPr>
        <w:t>(*) данный показатель отражает сальдовый остаток между показателями поступления денежных средств и произведенными выплатами из областного бюджета</w:t>
      </w:r>
    </w:p>
    <w:p w:rsidR="009C45F8" w:rsidRPr="008E5D79" w:rsidRDefault="009C45F8" w:rsidP="009C45F8">
      <w:pPr>
        <w:spacing w:after="0" w:line="240" w:lineRule="auto"/>
        <w:ind w:firstLine="720"/>
        <w:jc w:val="both"/>
        <w:rPr>
          <w:rFonts w:ascii="Times New Roman" w:hAnsi="Times New Roman" w:cs="Times New Roman"/>
          <w:spacing w:val="6"/>
          <w:sz w:val="24"/>
          <w:szCs w:val="24"/>
        </w:rPr>
      </w:pPr>
      <w:r w:rsidRPr="008E5D79">
        <w:rPr>
          <w:rFonts w:ascii="Times New Roman" w:hAnsi="Times New Roman" w:cs="Times New Roman"/>
          <w:spacing w:val="6"/>
          <w:sz w:val="24"/>
          <w:szCs w:val="24"/>
        </w:rPr>
        <w:t>В 2017 году привлечено бюджетных кредит</w:t>
      </w:r>
      <w:r>
        <w:rPr>
          <w:rFonts w:ascii="Times New Roman" w:hAnsi="Times New Roman" w:cs="Times New Roman"/>
          <w:spacing w:val="6"/>
          <w:sz w:val="24"/>
          <w:szCs w:val="24"/>
        </w:rPr>
        <w:t>ов</w:t>
      </w:r>
      <w:r w:rsidRPr="008E5D79">
        <w:rPr>
          <w:rFonts w:ascii="Times New Roman" w:hAnsi="Times New Roman" w:cs="Times New Roman"/>
          <w:spacing w:val="6"/>
          <w:sz w:val="24"/>
          <w:szCs w:val="24"/>
        </w:rPr>
        <w:t xml:space="preserve"> от других бюджетов бюджетной системы Российской Федерации в валюте Российской Федерации 1289442,0 тыс. рублей, или 100,0 процентов плановых назначений, кредиты от кредитных организаций в валюте Российской Федерации привлечены в объеме 9059095,8 тыс. рублей, или </w:t>
      </w:r>
      <w:r>
        <w:rPr>
          <w:rFonts w:ascii="Times New Roman" w:hAnsi="Times New Roman" w:cs="Times New Roman"/>
          <w:spacing w:val="6"/>
          <w:sz w:val="24"/>
          <w:szCs w:val="24"/>
        </w:rPr>
        <w:br/>
      </w:r>
      <w:r w:rsidRPr="008E5D79">
        <w:rPr>
          <w:rFonts w:ascii="Times New Roman" w:hAnsi="Times New Roman" w:cs="Times New Roman"/>
          <w:spacing w:val="6"/>
          <w:sz w:val="24"/>
          <w:szCs w:val="24"/>
        </w:rPr>
        <w:t>99,4 процента плановых назначений.</w:t>
      </w:r>
    </w:p>
    <w:p w:rsidR="009C45F8" w:rsidRPr="008E5D79" w:rsidRDefault="009C45F8" w:rsidP="009C45F8">
      <w:pPr>
        <w:spacing w:after="0" w:line="240" w:lineRule="auto"/>
        <w:ind w:firstLine="720"/>
        <w:jc w:val="both"/>
        <w:rPr>
          <w:rFonts w:ascii="Times New Roman" w:hAnsi="Times New Roman" w:cs="Times New Roman"/>
          <w:spacing w:val="6"/>
          <w:sz w:val="24"/>
          <w:szCs w:val="24"/>
        </w:rPr>
      </w:pPr>
      <w:r w:rsidRPr="008E5D79">
        <w:rPr>
          <w:rFonts w:ascii="Times New Roman" w:hAnsi="Times New Roman" w:cs="Times New Roman"/>
          <w:spacing w:val="6"/>
          <w:sz w:val="24"/>
          <w:szCs w:val="24"/>
        </w:rPr>
        <w:t>На погашение кредитов кредитных организаций в 2017 году направлено 10518428,2 тыс. рублей, или 100,0 процентов плановых назначений, погашение бюджетных кредитов – 2707497,5 тыс. рублей, или 100,0 процентов плановых назначений.</w:t>
      </w:r>
    </w:p>
    <w:p w:rsidR="009C45F8" w:rsidRPr="008E5D79" w:rsidRDefault="009C45F8" w:rsidP="009C45F8">
      <w:pPr>
        <w:spacing w:after="0" w:line="240" w:lineRule="auto"/>
        <w:ind w:firstLine="720"/>
        <w:jc w:val="both"/>
        <w:rPr>
          <w:rFonts w:ascii="Times New Roman" w:hAnsi="Times New Roman" w:cs="Times New Roman"/>
          <w:sz w:val="24"/>
          <w:szCs w:val="24"/>
        </w:rPr>
      </w:pPr>
      <w:r w:rsidRPr="008E5D79">
        <w:rPr>
          <w:rFonts w:ascii="Times New Roman" w:hAnsi="Times New Roman" w:cs="Times New Roman"/>
          <w:sz w:val="24"/>
          <w:szCs w:val="24"/>
        </w:rPr>
        <w:t xml:space="preserve">Изменение остатков средств на счетах по учету средств бюджета по результатам исполнения за 2017 год составило 32925,8 тыс. рублей со знаком «минус», при плановых назначениях 1305940,0 тыс. рублей. </w:t>
      </w:r>
    </w:p>
    <w:p w:rsidR="009C45F8" w:rsidRPr="00AA6522" w:rsidRDefault="009C45F8" w:rsidP="009C45F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8E5D79">
        <w:rPr>
          <w:rFonts w:ascii="Times New Roman" w:hAnsi="Times New Roman" w:cs="Times New Roman"/>
          <w:sz w:val="24"/>
          <w:szCs w:val="24"/>
        </w:rPr>
        <w:t>статки средств областного бюджета на лицевом счете доходов и расходов областного бюджета по состоянию на 01.01.2018 составили 1401193,9 тыс. рублей, или увеличились по сравнению с данными на 01.01.2017 на 32925,8 тыс. рублей (по состоянию на 01.01.2017 – 1368268,1 тыс. рублей</w:t>
      </w:r>
      <w:r w:rsidRPr="006052D6">
        <w:rPr>
          <w:rFonts w:ascii="Times New Roman" w:hAnsi="Times New Roman" w:cs="Times New Roman"/>
          <w:sz w:val="24"/>
          <w:szCs w:val="24"/>
        </w:rPr>
        <w:t>),</w:t>
      </w:r>
      <w:r w:rsidRPr="006052D6">
        <w:rPr>
          <w:rFonts w:ascii="Times New Roman" w:eastAsia="Times New Roman" w:hAnsi="Times New Roman" w:cs="Times New Roman"/>
          <w:sz w:val="24"/>
          <w:szCs w:val="24"/>
          <w:lang w:eastAsia="ru-RU"/>
        </w:rPr>
        <w:t xml:space="preserve"> в том числе остатки целевых средств, поступивших из федерального бюджета, составили 258031,1 тыс. рублей</w:t>
      </w:r>
      <w:r>
        <w:rPr>
          <w:rFonts w:ascii="Times New Roman" w:eastAsia="Times New Roman" w:hAnsi="Times New Roman" w:cs="Times New Roman"/>
          <w:sz w:val="24"/>
          <w:szCs w:val="24"/>
          <w:lang w:eastAsia="ru-RU"/>
        </w:rPr>
        <w:t>.</w:t>
      </w:r>
      <w:proofErr w:type="gramEnd"/>
    </w:p>
    <w:p w:rsidR="009C45F8" w:rsidRPr="006052D6" w:rsidRDefault="009C45F8" w:rsidP="009C45F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52D6">
        <w:rPr>
          <w:rFonts w:ascii="Times New Roman" w:eastAsia="Times New Roman" w:hAnsi="Times New Roman" w:cs="Times New Roman"/>
          <w:sz w:val="24"/>
          <w:szCs w:val="24"/>
          <w:lang w:eastAsia="ru-RU"/>
        </w:rPr>
        <w:t>Наибольший объем остатков сложился по средствам государственной корпорации «Фонд содействия реформированию жилищно-коммунального хозяйства» - 257973,4 тыс. рублей.</w:t>
      </w:r>
    </w:p>
    <w:p w:rsidR="009C45F8" w:rsidRPr="008E4725" w:rsidRDefault="00EE48D6" w:rsidP="009C45F8">
      <w:pPr>
        <w:spacing w:after="0" w:line="240" w:lineRule="auto"/>
        <w:ind w:firstLine="709"/>
        <w:jc w:val="both"/>
        <w:rPr>
          <w:rFonts w:ascii="Times New Roman" w:hAnsi="Times New Roman" w:cs="Times New Roman"/>
          <w:sz w:val="24"/>
          <w:szCs w:val="24"/>
        </w:rPr>
      </w:pPr>
      <w:r w:rsidRPr="008E4725">
        <w:rPr>
          <w:rFonts w:ascii="Times New Roman" w:hAnsi="Times New Roman" w:cs="Times New Roman"/>
          <w:sz w:val="24"/>
          <w:szCs w:val="24"/>
        </w:rPr>
        <w:t>В 2017 году возврат бюджетных кредитов, предоставленных бюджетам муниципальных образований области из областного бюджета</w:t>
      </w:r>
      <w:r>
        <w:rPr>
          <w:rFonts w:ascii="Times New Roman" w:hAnsi="Times New Roman" w:cs="Times New Roman"/>
          <w:sz w:val="24"/>
          <w:szCs w:val="24"/>
        </w:rPr>
        <w:t>,</w:t>
      </w:r>
      <w:r w:rsidRPr="008E4725">
        <w:rPr>
          <w:rFonts w:ascii="Times New Roman" w:hAnsi="Times New Roman" w:cs="Times New Roman"/>
          <w:sz w:val="24"/>
          <w:szCs w:val="24"/>
        </w:rPr>
        <w:t xml:space="preserve"> осуществлен в сумме </w:t>
      </w:r>
      <w:r>
        <w:rPr>
          <w:rFonts w:ascii="Times New Roman" w:hAnsi="Times New Roman" w:cs="Times New Roman"/>
          <w:sz w:val="24"/>
          <w:szCs w:val="24"/>
        </w:rPr>
        <w:br/>
      </w:r>
      <w:r w:rsidRPr="008E4725">
        <w:rPr>
          <w:rFonts w:ascii="Times New Roman" w:hAnsi="Times New Roman" w:cs="Times New Roman"/>
          <w:sz w:val="24"/>
          <w:szCs w:val="24"/>
        </w:rPr>
        <w:t>81622,1 тыс. рублей.</w:t>
      </w:r>
      <w:r>
        <w:rPr>
          <w:rFonts w:ascii="Times New Roman" w:hAnsi="Times New Roman" w:cs="Times New Roman"/>
          <w:sz w:val="24"/>
          <w:szCs w:val="24"/>
        </w:rPr>
        <w:t xml:space="preserve"> </w:t>
      </w:r>
    </w:p>
    <w:p w:rsidR="009C45F8" w:rsidRPr="00EB13C8" w:rsidRDefault="009C45F8" w:rsidP="009C45F8">
      <w:pPr>
        <w:spacing w:line="240" w:lineRule="auto"/>
        <w:ind w:firstLine="709"/>
        <w:jc w:val="both"/>
        <w:rPr>
          <w:rFonts w:ascii="Times New Roman" w:hAnsi="Times New Roman" w:cs="Times New Roman"/>
          <w:sz w:val="24"/>
          <w:szCs w:val="24"/>
        </w:rPr>
      </w:pPr>
      <w:r w:rsidRPr="008E4725">
        <w:rPr>
          <w:rFonts w:ascii="Times New Roman" w:hAnsi="Times New Roman" w:cs="Times New Roman"/>
          <w:sz w:val="24"/>
          <w:szCs w:val="24"/>
        </w:rPr>
        <w:t xml:space="preserve">Исполнение по средствам от продажи акций и иных форм участия в капитале, находящихся в собственности бюджетов субъектов Российской Федерации в 2017 году составляет 0,1 тыс. рублей. </w:t>
      </w:r>
      <w:r>
        <w:rPr>
          <w:rFonts w:ascii="Times New Roman" w:hAnsi="Times New Roman" w:cs="Times New Roman"/>
          <w:sz w:val="24"/>
          <w:szCs w:val="24"/>
        </w:rPr>
        <w:t>Согласно Пояснительной записке к законопроекту в</w:t>
      </w:r>
      <w:r w:rsidRPr="00EB13C8">
        <w:rPr>
          <w:rFonts w:ascii="Times New Roman" w:hAnsi="Times New Roman" w:cs="Times New Roman"/>
          <w:sz w:val="24"/>
          <w:szCs w:val="24"/>
        </w:rPr>
        <w:t xml:space="preserve"> соответствии </w:t>
      </w:r>
      <w:r w:rsidRPr="00EB13C8">
        <w:rPr>
          <w:rFonts w:ascii="Times New Roman" w:hAnsi="Times New Roman" w:cs="Times New Roman"/>
          <w:sz w:val="24"/>
          <w:szCs w:val="24"/>
        </w:rPr>
        <w:lastRenderedPageBreak/>
        <w:t>с прогнозным планом приватизации областного имущества на 2017-2019 годы, утвержденн</w:t>
      </w:r>
      <w:r>
        <w:rPr>
          <w:rFonts w:ascii="Times New Roman" w:hAnsi="Times New Roman" w:cs="Times New Roman"/>
          <w:sz w:val="24"/>
          <w:szCs w:val="24"/>
        </w:rPr>
        <w:t>ым</w:t>
      </w:r>
      <w:r w:rsidRPr="00EB13C8">
        <w:rPr>
          <w:rFonts w:ascii="Times New Roman" w:hAnsi="Times New Roman" w:cs="Times New Roman"/>
          <w:sz w:val="24"/>
          <w:szCs w:val="24"/>
        </w:rPr>
        <w:t xml:space="preserve"> постановлением Законодательного Собрания Амурской области  от 24.11.2016 № 3/123, поступления в областной бюджет средств от продажи акций акционерных обществ и долей обществ с ограниченной ответственностью на 2017 год не планировались. При этом в отчетном периоде по данному виду источников финансирования дефицита поступили средства </w:t>
      </w:r>
      <w:r w:rsidR="009070B2">
        <w:rPr>
          <w:rFonts w:ascii="Times New Roman" w:hAnsi="Times New Roman" w:cs="Times New Roman"/>
          <w:sz w:val="24"/>
          <w:szCs w:val="24"/>
        </w:rPr>
        <w:t xml:space="preserve">в </w:t>
      </w:r>
      <w:r w:rsidRPr="00EB13C8">
        <w:rPr>
          <w:rFonts w:ascii="Times New Roman" w:hAnsi="Times New Roman" w:cs="Times New Roman"/>
          <w:sz w:val="24"/>
          <w:szCs w:val="24"/>
        </w:rPr>
        <w:t>сумме 100,0 рублей от ООО «Амурское ипотечное строительное агентство». В соответствии с действующим законодательством ГБУ Амурской области «Фонд имущества Амурской области», изменив в 2016 году тип учреждения на государственное казенное учреждение, вышло из состава участников ООО «Амурское ипотечное строительное агентство». Поэтому в начале 2017 года Общество осуществило возврат в областной бюджет действительной стоимости доли в уставном капитале, принадлежавшей государственному учреждению.</w:t>
      </w:r>
    </w:p>
    <w:p w:rsidR="009C45F8" w:rsidRPr="00A8101B" w:rsidRDefault="009C45F8" w:rsidP="009C45F8">
      <w:pPr>
        <w:spacing w:after="0" w:line="240" w:lineRule="auto"/>
        <w:ind w:firstLine="709"/>
        <w:jc w:val="both"/>
        <w:rPr>
          <w:rFonts w:ascii="Times New Roman" w:hAnsi="Times New Roman" w:cs="Times New Roman"/>
          <w:spacing w:val="6"/>
          <w:sz w:val="24"/>
          <w:szCs w:val="24"/>
        </w:rPr>
      </w:pPr>
    </w:p>
    <w:p w:rsidR="009C45F8" w:rsidRDefault="009C45F8" w:rsidP="009C45F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69732A">
        <w:rPr>
          <w:rFonts w:ascii="Times New Roman" w:eastAsia="Times New Roman" w:hAnsi="Times New Roman" w:cs="Times New Roman"/>
          <w:b/>
          <w:sz w:val="24"/>
          <w:szCs w:val="24"/>
          <w:lang w:eastAsia="ru-RU"/>
        </w:rPr>
        <w:t xml:space="preserve">5. </w:t>
      </w:r>
      <w:r w:rsidRPr="00325036">
        <w:rPr>
          <w:rFonts w:ascii="Times New Roman" w:eastAsia="Times New Roman" w:hAnsi="Times New Roman" w:cs="Times New Roman"/>
          <w:b/>
          <w:sz w:val="24"/>
          <w:szCs w:val="24"/>
          <w:lang w:eastAsia="ru-RU"/>
        </w:rPr>
        <w:t>Исполнение областного бюджета по расходам за 201</w:t>
      </w:r>
      <w:r>
        <w:rPr>
          <w:rFonts w:ascii="Times New Roman" w:eastAsia="Times New Roman" w:hAnsi="Times New Roman" w:cs="Times New Roman"/>
          <w:b/>
          <w:sz w:val="24"/>
          <w:szCs w:val="24"/>
          <w:lang w:eastAsia="ru-RU"/>
        </w:rPr>
        <w:t>7</w:t>
      </w:r>
      <w:r w:rsidRPr="00325036">
        <w:rPr>
          <w:rFonts w:ascii="Times New Roman" w:eastAsia="Times New Roman" w:hAnsi="Times New Roman" w:cs="Times New Roman"/>
          <w:b/>
          <w:sz w:val="24"/>
          <w:szCs w:val="24"/>
          <w:lang w:eastAsia="ru-RU"/>
        </w:rPr>
        <w:t xml:space="preserve"> год</w:t>
      </w:r>
    </w:p>
    <w:p w:rsidR="008D61EB" w:rsidRPr="00E37BE0"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BE0">
        <w:rPr>
          <w:rFonts w:ascii="Times New Roman" w:eastAsia="Times New Roman" w:hAnsi="Times New Roman" w:cs="Times New Roman"/>
          <w:sz w:val="24"/>
          <w:szCs w:val="24"/>
          <w:lang w:eastAsia="ru-RU"/>
        </w:rPr>
        <w:t xml:space="preserve">Законом Амурской области от 20.12.2016 № 27-ОЗ «Об областном бюджете на </w:t>
      </w:r>
      <w:r>
        <w:rPr>
          <w:rFonts w:ascii="Times New Roman" w:eastAsia="Times New Roman" w:hAnsi="Times New Roman" w:cs="Times New Roman"/>
          <w:sz w:val="24"/>
          <w:szCs w:val="24"/>
          <w:lang w:eastAsia="ru-RU"/>
        </w:rPr>
        <w:br/>
      </w:r>
      <w:r w:rsidRPr="00E37BE0">
        <w:rPr>
          <w:rFonts w:ascii="Times New Roman" w:eastAsia="Times New Roman" w:hAnsi="Times New Roman" w:cs="Times New Roman"/>
          <w:sz w:val="24"/>
          <w:szCs w:val="24"/>
          <w:lang w:eastAsia="ru-RU"/>
        </w:rPr>
        <w:t>2017 год и плановый период 2018 и 2019 годов» объем бюджетных ассигнований на 2017 год утвержден в сумме 40357352,1 тыс. рублей.</w:t>
      </w:r>
    </w:p>
    <w:p w:rsidR="008D61EB" w:rsidRPr="00E37BE0"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BE0">
        <w:rPr>
          <w:rFonts w:ascii="Times New Roman" w:eastAsia="Times New Roman" w:hAnsi="Times New Roman" w:cs="Times New Roman"/>
          <w:sz w:val="24"/>
          <w:szCs w:val="24"/>
          <w:lang w:eastAsia="ru-RU"/>
        </w:rPr>
        <w:t>В течение отчетного периода в расходную часть областного бюджета вносились изменения, в связи с чем объем бюджетных ассигнований, утвержденных законом области об областном бюджете, составил 46581252,6 тыс. рублей, или увеличился на 6223900,5 тыс. рублей (15,4 процента).</w:t>
      </w:r>
    </w:p>
    <w:p w:rsidR="008D61EB" w:rsidRPr="00E37BE0"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бюджетной росписи областного бюджета на 2017 год</w:t>
      </w:r>
      <w:r w:rsidRPr="00E37BE0">
        <w:rPr>
          <w:rFonts w:ascii="Times New Roman" w:eastAsia="Times New Roman" w:hAnsi="Times New Roman" w:cs="Times New Roman"/>
          <w:sz w:val="24"/>
          <w:szCs w:val="24"/>
          <w:lang w:eastAsia="ru-RU"/>
        </w:rPr>
        <w:t xml:space="preserve"> плановые назначения по расходам составляют 47576854,2 тыс. рублей. </w:t>
      </w:r>
    </w:p>
    <w:p w:rsidR="008D61EB" w:rsidRPr="00E37BE0"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BE0">
        <w:rPr>
          <w:rFonts w:ascii="Times New Roman" w:eastAsia="Times New Roman" w:hAnsi="Times New Roman" w:cs="Times New Roman"/>
          <w:sz w:val="24"/>
          <w:szCs w:val="24"/>
          <w:lang w:eastAsia="ru-RU"/>
        </w:rPr>
        <w:t xml:space="preserve">Плановые назначения на 2017 год по бюджетной росписи превышают назначения, утвержденные законом об областном бюджете (с учетом внесенных изменений), на </w:t>
      </w:r>
      <w:r>
        <w:rPr>
          <w:rFonts w:ascii="Times New Roman" w:eastAsia="Times New Roman" w:hAnsi="Times New Roman" w:cs="Times New Roman"/>
          <w:sz w:val="24"/>
          <w:szCs w:val="24"/>
          <w:lang w:eastAsia="ru-RU"/>
        </w:rPr>
        <w:br/>
      </w:r>
      <w:r w:rsidRPr="00E37BE0">
        <w:rPr>
          <w:rFonts w:ascii="Times New Roman" w:eastAsia="Times New Roman" w:hAnsi="Times New Roman" w:cs="Times New Roman"/>
          <w:sz w:val="24"/>
          <w:szCs w:val="24"/>
          <w:lang w:eastAsia="ru-RU"/>
        </w:rPr>
        <w:t>995601,6 тыс. рублей, или 2,1 процента.</w:t>
      </w:r>
    </w:p>
    <w:p w:rsidR="008D61EB" w:rsidRPr="00E37BE0"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37BE0">
        <w:rPr>
          <w:rFonts w:ascii="Times New Roman" w:eastAsia="Times New Roman" w:hAnsi="Times New Roman" w:cs="Times New Roman"/>
          <w:sz w:val="24"/>
          <w:szCs w:val="24"/>
          <w:lang w:eastAsia="ru-RU"/>
        </w:rPr>
        <w:t>точнение показателей сводной бюджетной росписи, без внесения изменений в закон области об областном бюджете на 2017 год, в основном связано с поступлением средств из федерального бюджета, в связи с принятием решений Правительством Российской Федерации, федеральными органами исполнительной власти о распределении бюджету Амурской области субсидий, субвенций, иных межбюджетных трансфертов, имеющих целевое назначение, а также заключение</w:t>
      </w:r>
      <w:r>
        <w:rPr>
          <w:rFonts w:ascii="Times New Roman" w:eastAsia="Times New Roman" w:hAnsi="Times New Roman" w:cs="Times New Roman"/>
          <w:sz w:val="24"/>
          <w:szCs w:val="24"/>
          <w:lang w:eastAsia="ru-RU"/>
        </w:rPr>
        <w:t>м</w:t>
      </w:r>
      <w:r w:rsidRPr="00E37BE0">
        <w:rPr>
          <w:rFonts w:ascii="Times New Roman" w:eastAsia="Times New Roman" w:hAnsi="Times New Roman" w:cs="Times New Roman"/>
          <w:sz w:val="24"/>
          <w:szCs w:val="24"/>
          <w:lang w:eastAsia="ru-RU"/>
        </w:rPr>
        <w:t xml:space="preserve"> соглашений, предусматривающих получение субсидий, субвенций, иных межбюджетных трансфертов, имеющих целевое назначение, сверх объемов, утвержденных законом области об областном бюджете. </w:t>
      </w:r>
    </w:p>
    <w:p w:rsidR="008D61EB" w:rsidRPr="00E37BE0"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7BE0">
        <w:rPr>
          <w:rFonts w:ascii="Times New Roman" w:eastAsia="Times New Roman" w:hAnsi="Times New Roman" w:cs="Times New Roman"/>
          <w:sz w:val="24"/>
          <w:szCs w:val="24"/>
          <w:lang w:eastAsia="ru-RU"/>
        </w:rPr>
        <w:t xml:space="preserve">Кроме того, в 2017 году вносились изменения в государственные программы области, </w:t>
      </w:r>
      <w:r>
        <w:rPr>
          <w:rFonts w:ascii="Times New Roman" w:eastAsia="Times New Roman" w:hAnsi="Times New Roman" w:cs="Times New Roman"/>
          <w:sz w:val="24"/>
          <w:szCs w:val="24"/>
          <w:lang w:eastAsia="ru-RU"/>
        </w:rPr>
        <w:t>обусловленные</w:t>
      </w:r>
      <w:r w:rsidRPr="00E37BE0">
        <w:rPr>
          <w:rFonts w:ascii="Times New Roman" w:eastAsia="Times New Roman" w:hAnsi="Times New Roman" w:cs="Times New Roman"/>
          <w:sz w:val="24"/>
          <w:szCs w:val="24"/>
          <w:lang w:eastAsia="ru-RU"/>
        </w:rPr>
        <w:t xml:space="preserve"> перераспределением объемов финансирования между программными мероприятиями внутри государственной программы, в пределах утвержденного на текущий финансовый год объема бюджетных ассигнований на финансовое обеспечение реализации государственной программы.</w:t>
      </w:r>
    </w:p>
    <w:p w:rsidR="008D61EB"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вышеуказанным причинам у</w:t>
      </w:r>
      <w:r w:rsidRPr="00E37BE0">
        <w:rPr>
          <w:rFonts w:ascii="Times New Roman" w:eastAsia="Times New Roman" w:hAnsi="Times New Roman" w:cs="Times New Roman"/>
          <w:sz w:val="24"/>
          <w:szCs w:val="24"/>
          <w:lang w:eastAsia="ru-RU"/>
        </w:rPr>
        <w:t>точнение показателей сводной бюджетной росписи на 2017 год</w:t>
      </w:r>
      <w:r>
        <w:rPr>
          <w:rFonts w:ascii="Times New Roman" w:eastAsia="Times New Roman" w:hAnsi="Times New Roman" w:cs="Times New Roman"/>
          <w:sz w:val="24"/>
          <w:szCs w:val="24"/>
          <w:lang w:eastAsia="ru-RU"/>
        </w:rPr>
        <w:t>,</w:t>
      </w:r>
      <w:r w:rsidRPr="00E37BE0">
        <w:rPr>
          <w:rFonts w:ascii="Times New Roman" w:eastAsia="Times New Roman" w:hAnsi="Times New Roman" w:cs="Times New Roman"/>
          <w:sz w:val="24"/>
          <w:szCs w:val="24"/>
          <w:lang w:eastAsia="ru-RU"/>
        </w:rPr>
        <w:t xml:space="preserve"> без внесения изменений в закон области об областном бюджете, произведено в пределах ограничений, установленных статьями 217, 232 Бюджетного кодекса Российской Федерации, статьей 11 Закона Амурской области «Об областном бюджете на 2017 год и плановый период 2018 и 2019 годов», статьей 15.2 Закона Амурской области от 31.08.2007 </w:t>
      </w:r>
      <w:r>
        <w:rPr>
          <w:rFonts w:ascii="Times New Roman" w:eastAsia="Times New Roman" w:hAnsi="Times New Roman" w:cs="Times New Roman"/>
          <w:sz w:val="24"/>
          <w:szCs w:val="24"/>
          <w:lang w:eastAsia="ru-RU"/>
        </w:rPr>
        <w:br/>
      </w:r>
      <w:r w:rsidRPr="00E37BE0">
        <w:rPr>
          <w:rFonts w:ascii="Times New Roman" w:eastAsia="Times New Roman" w:hAnsi="Times New Roman" w:cs="Times New Roman"/>
          <w:sz w:val="24"/>
          <w:szCs w:val="24"/>
          <w:lang w:eastAsia="ru-RU"/>
        </w:rPr>
        <w:t>№ 368-ОЗ «О бюджетном процессе в Амурской области».</w:t>
      </w:r>
    </w:p>
    <w:p w:rsidR="008D61EB" w:rsidRPr="00D023C5" w:rsidRDefault="008D61EB" w:rsidP="008D61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2FFF">
        <w:rPr>
          <w:rFonts w:ascii="Times New Roman" w:eastAsia="Times New Roman" w:hAnsi="Times New Roman" w:cs="Times New Roman"/>
          <w:sz w:val="24"/>
          <w:szCs w:val="24"/>
          <w:lang w:eastAsia="ru-RU"/>
        </w:rPr>
        <w:t>Согласно проекту закона Амурской области «Об исполнении областного бюджета за 201</w:t>
      </w:r>
      <w:r>
        <w:rPr>
          <w:rFonts w:ascii="Times New Roman" w:eastAsia="Times New Roman" w:hAnsi="Times New Roman" w:cs="Times New Roman"/>
          <w:sz w:val="24"/>
          <w:szCs w:val="24"/>
          <w:lang w:eastAsia="ru-RU"/>
        </w:rPr>
        <w:t>7</w:t>
      </w:r>
      <w:r w:rsidRPr="00A22FFF">
        <w:rPr>
          <w:rFonts w:ascii="Times New Roman" w:eastAsia="Times New Roman" w:hAnsi="Times New Roman" w:cs="Times New Roman"/>
          <w:sz w:val="24"/>
          <w:szCs w:val="24"/>
          <w:lang w:eastAsia="ru-RU"/>
        </w:rPr>
        <w:t xml:space="preserve"> год» </w:t>
      </w:r>
      <w:r w:rsidRPr="00E37BE0">
        <w:rPr>
          <w:rFonts w:ascii="Times New Roman" w:eastAsia="Times New Roman" w:hAnsi="Times New Roman" w:cs="Times New Roman"/>
          <w:sz w:val="24"/>
          <w:szCs w:val="24"/>
          <w:lang w:eastAsia="ru-RU"/>
        </w:rPr>
        <w:t>расходы областного бюджета за 2017 год исполнены в сумме 46234259,3 тыс. рублей, или 97,2 процента к плановым показателям сводной бюджетной росписи расходов</w:t>
      </w:r>
      <w:r>
        <w:rPr>
          <w:rFonts w:ascii="Times New Roman" w:eastAsia="Times New Roman" w:hAnsi="Times New Roman" w:cs="Times New Roman"/>
          <w:sz w:val="24"/>
          <w:szCs w:val="24"/>
          <w:lang w:eastAsia="ru-RU"/>
        </w:rPr>
        <w:t xml:space="preserve">, в том числе </w:t>
      </w:r>
      <w:r w:rsidRPr="00D023C5">
        <w:rPr>
          <w:rFonts w:ascii="Times New Roman" w:eastAsia="Times New Roman" w:hAnsi="Times New Roman" w:cs="Times New Roman"/>
          <w:sz w:val="24"/>
          <w:szCs w:val="24"/>
          <w:lang w:eastAsia="ru-RU"/>
        </w:rPr>
        <w:t>программная часть исполнена в сумме 45623002,0 тыс. рублей, или 97,2</w:t>
      </w:r>
      <w:r>
        <w:rPr>
          <w:rFonts w:ascii="Times New Roman" w:eastAsia="Times New Roman" w:hAnsi="Times New Roman" w:cs="Times New Roman"/>
          <w:sz w:val="24"/>
          <w:szCs w:val="24"/>
          <w:lang w:eastAsia="ru-RU"/>
        </w:rPr>
        <w:t xml:space="preserve"> процента плана, </w:t>
      </w:r>
      <w:r w:rsidRPr="00D023C5">
        <w:rPr>
          <w:rFonts w:ascii="Times New Roman" w:eastAsia="Times New Roman" w:hAnsi="Times New Roman" w:cs="Times New Roman"/>
          <w:sz w:val="24"/>
          <w:szCs w:val="24"/>
          <w:lang w:eastAsia="ru-RU"/>
        </w:rPr>
        <w:t>непрограммные расходы исполнены в сумме 611257,3 тыс. рублей, или 97,9 процента плана. Объем неисполненных бюджетных назначений составил 1342594,9 тыс. рублей.</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D023C5">
        <w:rPr>
          <w:rFonts w:ascii="Times New Roman" w:eastAsia="Times New Roman" w:hAnsi="Times New Roman" w:cs="Times New Roman"/>
          <w:sz w:val="24"/>
          <w:szCs w:val="24"/>
          <w:lang w:eastAsia="ru-RU"/>
        </w:rPr>
        <w:t>сновными причинами неисполнения плановых назначений послужили следующие факторы:</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сложившаяся экономия средств по результатам проведения конкурсных процедур;</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предъявление </w:t>
      </w:r>
      <w:r w:rsidRPr="00D023C5">
        <w:rPr>
          <w:rFonts w:ascii="Times New Roman" w:eastAsia="Times New Roman" w:hAnsi="Times New Roman" w:cs="Times New Roman"/>
          <w:sz w:val="24"/>
          <w:szCs w:val="24"/>
          <w:lang w:eastAsia="ru-RU"/>
        </w:rPr>
        <w:t>к казне области исполнительных листов</w:t>
      </w:r>
      <w:r>
        <w:rPr>
          <w:rFonts w:ascii="Times New Roman" w:eastAsia="Times New Roman" w:hAnsi="Times New Roman" w:cs="Times New Roman"/>
          <w:sz w:val="24"/>
          <w:szCs w:val="24"/>
          <w:lang w:eastAsia="ru-RU"/>
        </w:rPr>
        <w:t xml:space="preserve"> на сумму в меньшем объеме, чем предусмотрено в расходах бюджета</w:t>
      </w:r>
      <w:r w:rsidRPr="00D023C5">
        <w:rPr>
          <w:rFonts w:ascii="Times New Roman" w:eastAsia="Times New Roman" w:hAnsi="Times New Roman" w:cs="Times New Roman"/>
          <w:sz w:val="24"/>
          <w:szCs w:val="24"/>
          <w:lang w:eastAsia="ru-RU"/>
        </w:rPr>
        <w:t>;</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перечисление из областного бюджета межбюджетных трансфертов в пределах сумм, необходимых для оплаты денежных обязательств муниципальных образований;</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оплата расходов в размере фактического исполнения на основании актов выполненных работ;</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применение предельной величины базы для начисления страховых взносов и экономия по страховым взносам;</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xml:space="preserve">- неисполнение поставщиками, подрядчиками контрактных обязательств в части соблюдения сроков, определенных государственными контрактами; </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перенос сроков реализации мероп</w:t>
      </w:r>
      <w:r>
        <w:rPr>
          <w:rFonts w:ascii="Times New Roman" w:eastAsia="Times New Roman" w:hAnsi="Times New Roman" w:cs="Times New Roman"/>
          <w:sz w:val="24"/>
          <w:szCs w:val="24"/>
          <w:lang w:eastAsia="ru-RU"/>
        </w:rPr>
        <w:t>риятий государственных программ</w:t>
      </w:r>
      <w:r w:rsidRPr="00D023C5">
        <w:rPr>
          <w:rFonts w:ascii="Times New Roman" w:eastAsia="Times New Roman" w:hAnsi="Times New Roman" w:cs="Times New Roman"/>
          <w:sz w:val="24"/>
          <w:szCs w:val="24"/>
          <w:lang w:eastAsia="ru-RU"/>
        </w:rPr>
        <w:t>;</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отсутствие потребности в средствах, предоставление которых носит заявительный характер, что связано с уменьшением количества получателей бюджетных средств;</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неоплата в связи с неверным указанием платежных реквизитов;</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highlight w:val="yellow"/>
          <w:lang w:eastAsia="ru-RU"/>
        </w:rPr>
      </w:pPr>
      <w:r w:rsidRPr="00D023C5">
        <w:rPr>
          <w:rFonts w:ascii="Times New Roman" w:eastAsia="Times New Roman" w:hAnsi="Times New Roman" w:cs="Times New Roman"/>
          <w:sz w:val="24"/>
          <w:szCs w:val="24"/>
          <w:lang w:eastAsia="ru-RU"/>
        </w:rPr>
        <w:t xml:space="preserve">- в соответствии с условиями государственных контрактов поставка закупаемых материальных ценностей для восполнения резерва материальных запасов предусмотрена в </w:t>
      </w:r>
      <w:r w:rsidR="00324560">
        <w:rPr>
          <w:rFonts w:ascii="Times New Roman" w:eastAsia="Times New Roman" w:hAnsi="Times New Roman" w:cs="Times New Roman"/>
          <w:sz w:val="24"/>
          <w:szCs w:val="24"/>
          <w:lang w:eastAsia="ru-RU"/>
        </w:rPr>
        <w:br/>
      </w:r>
      <w:r w:rsidRPr="00D023C5">
        <w:rPr>
          <w:rFonts w:ascii="Times New Roman" w:eastAsia="Times New Roman" w:hAnsi="Times New Roman" w:cs="Times New Roman"/>
          <w:sz w:val="24"/>
          <w:szCs w:val="24"/>
          <w:lang w:eastAsia="ru-RU"/>
        </w:rPr>
        <w:t>1 декаде января 2018 года;</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не распределены средства резервного фонда Правительства Амурской области в связи с отсутствием необходимости - 6612,8 тыс. рублей;</w:t>
      </w:r>
    </w:p>
    <w:p w:rsidR="008D61EB" w:rsidRPr="00D023C5" w:rsidRDefault="008D61EB" w:rsidP="008D61EB">
      <w:pPr>
        <w:spacing w:after="0" w:line="240" w:lineRule="auto"/>
        <w:ind w:firstLine="720"/>
        <w:jc w:val="both"/>
        <w:rPr>
          <w:rFonts w:ascii="Times New Roman" w:eastAsia="Times New Roman" w:hAnsi="Times New Roman" w:cs="Times New Roman"/>
          <w:sz w:val="24"/>
          <w:szCs w:val="24"/>
          <w:lang w:eastAsia="ru-RU"/>
        </w:rPr>
      </w:pPr>
      <w:r w:rsidRPr="00D023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предоставлена субсидия в виде и</w:t>
      </w:r>
      <w:r w:rsidRPr="0000211D">
        <w:rPr>
          <w:rFonts w:ascii="Times New Roman" w:eastAsia="Times New Roman" w:hAnsi="Times New Roman" w:cs="Times New Roman"/>
          <w:sz w:val="24"/>
          <w:szCs w:val="24"/>
          <w:lang w:eastAsia="ru-RU"/>
        </w:rPr>
        <w:t>мущественн</w:t>
      </w:r>
      <w:r>
        <w:rPr>
          <w:rFonts w:ascii="Times New Roman" w:eastAsia="Times New Roman" w:hAnsi="Times New Roman" w:cs="Times New Roman"/>
          <w:sz w:val="24"/>
          <w:szCs w:val="24"/>
          <w:lang w:eastAsia="ru-RU"/>
        </w:rPr>
        <w:t>ого</w:t>
      </w:r>
      <w:r w:rsidRPr="0000211D">
        <w:rPr>
          <w:rFonts w:ascii="Times New Roman" w:eastAsia="Times New Roman" w:hAnsi="Times New Roman" w:cs="Times New Roman"/>
          <w:sz w:val="24"/>
          <w:szCs w:val="24"/>
          <w:lang w:eastAsia="ru-RU"/>
        </w:rPr>
        <w:t xml:space="preserve"> взнос</w:t>
      </w:r>
      <w:r>
        <w:rPr>
          <w:rFonts w:ascii="Times New Roman" w:eastAsia="Times New Roman" w:hAnsi="Times New Roman" w:cs="Times New Roman"/>
          <w:sz w:val="24"/>
          <w:szCs w:val="24"/>
          <w:lang w:eastAsia="ru-RU"/>
        </w:rPr>
        <w:t>а</w:t>
      </w:r>
      <w:r w:rsidRPr="0000211D">
        <w:rPr>
          <w:rFonts w:ascii="Times New Roman" w:eastAsia="Times New Roman" w:hAnsi="Times New Roman" w:cs="Times New Roman"/>
          <w:sz w:val="24"/>
          <w:szCs w:val="24"/>
          <w:lang w:eastAsia="ru-RU"/>
        </w:rPr>
        <w:t xml:space="preserve"> Амурской области некоммерческ</w:t>
      </w:r>
      <w:r>
        <w:rPr>
          <w:rFonts w:ascii="Times New Roman" w:eastAsia="Times New Roman" w:hAnsi="Times New Roman" w:cs="Times New Roman"/>
          <w:sz w:val="24"/>
          <w:szCs w:val="24"/>
          <w:lang w:eastAsia="ru-RU"/>
        </w:rPr>
        <w:t>ой</w:t>
      </w:r>
      <w:r w:rsidRPr="0000211D">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0021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0211D">
        <w:rPr>
          <w:rFonts w:ascii="Times New Roman" w:eastAsia="Times New Roman" w:hAnsi="Times New Roman" w:cs="Times New Roman"/>
          <w:sz w:val="24"/>
          <w:szCs w:val="24"/>
          <w:lang w:eastAsia="ru-RU"/>
        </w:rPr>
        <w:t>Фонд капитального ремонта многоквартирных домов Амурской области</w:t>
      </w:r>
      <w:r>
        <w:rPr>
          <w:rFonts w:ascii="Times New Roman" w:eastAsia="Times New Roman" w:hAnsi="Times New Roman" w:cs="Times New Roman"/>
          <w:sz w:val="24"/>
          <w:szCs w:val="24"/>
          <w:lang w:eastAsia="ru-RU"/>
        </w:rPr>
        <w:t>»</w:t>
      </w:r>
      <w:r w:rsidRPr="00D023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D61EB" w:rsidRPr="008D61EB" w:rsidRDefault="008D61EB" w:rsidP="008D6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4A9">
        <w:rPr>
          <w:rFonts w:ascii="Times New Roman" w:eastAsia="Times New Roman" w:hAnsi="Times New Roman" w:cs="Times New Roman"/>
          <w:sz w:val="24"/>
          <w:szCs w:val="24"/>
          <w:lang w:eastAsia="ru-RU"/>
        </w:rPr>
        <w:t xml:space="preserve">Информация об объемах бюджетных ассигнований, утвержденных законом области об областном бюджете на 2017 год, сводной бюджетной росписью расходов областного бюджета на 2017 год, объемах бюджетных ассигнований, предусмотренных государственными программами области (за счет средств областного и федерального бюджетов) в разрезе государственных программ и об исполнении государственных программ и непрограммной части за 2017 год, представлена в </w:t>
      </w:r>
      <w:r w:rsidRPr="008D61EB">
        <w:rPr>
          <w:rFonts w:ascii="Times New Roman" w:eastAsia="Times New Roman" w:hAnsi="Times New Roman" w:cs="Times New Roman"/>
          <w:sz w:val="24"/>
          <w:szCs w:val="24"/>
          <w:lang w:eastAsia="ru-RU"/>
        </w:rPr>
        <w:t>таблице 3.</w:t>
      </w:r>
    </w:p>
    <w:p w:rsidR="008D61EB" w:rsidRPr="00B724A9" w:rsidRDefault="008D61EB" w:rsidP="008D61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724A9">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3</w:t>
      </w:r>
      <w:r w:rsidRPr="00B724A9">
        <w:rPr>
          <w:rFonts w:ascii="Times New Roman" w:eastAsia="Times New Roman" w:hAnsi="Times New Roman" w:cs="Times New Roman"/>
          <w:sz w:val="24"/>
          <w:szCs w:val="24"/>
          <w:lang w:eastAsia="ru-RU"/>
        </w:rPr>
        <w:t>.</w:t>
      </w:r>
    </w:p>
    <w:p w:rsidR="008D61EB" w:rsidRPr="00AA6522" w:rsidRDefault="008D61EB" w:rsidP="00AA65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6522">
        <w:rPr>
          <w:rFonts w:ascii="Times New Roman" w:eastAsia="Times New Roman" w:hAnsi="Times New Roman" w:cs="Times New Roman"/>
          <w:b/>
          <w:sz w:val="24"/>
          <w:szCs w:val="24"/>
          <w:lang w:eastAsia="ru-RU"/>
        </w:rPr>
        <w:t xml:space="preserve">Информация об объемах бюджетных ассигнований, утвержденных законом области об областном бюджете на 2017 год, сводной бюджетной росписью расходов областного бюджета на 2017 год, объемах бюджетных ассигнований, предусмотренных государственными программами области (за счет средств областного и федерального бюджетов) и об исполнении государственных программ и непрограммной части за </w:t>
      </w:r>
      <w:r w:rsidR="00496D9C">
        <w:rPr>
          <w:rFonts w:ascii="Times New Roman" w:eastAsia="Times New Roman" w:hAnsi="Times New Roman" w:cs="Times New Roman"/>
          <w:b/>
          <w:sz w:val="24"/>
          <w:szCs w:val="24"/>
          <w:lang w:eastAsia="ru-RU"/>
        </w:rPr>
        <w:br/>
      </w:r>
      <w:r w:rsidRPr="00AA6522">
        <w:rPr>
          <w:rFonts w:ascii="Times New Roman" w:eastAsia="Times New Roman" w:hAnsi="Times New Roman" w:cs="Times New Roman"/>
          <w:b/>
          <w:sz w:val="24"/>
          <w:szCs w:val="24"/>
          <w:lang w:eastAsia="ru-RU"/>
        </w:rPr>
        <w:t>2017 год</w:t>
      </w:r>
      <w:r w:rsidR="00AA6522">
        <w:rPr>
          <w:rFonts w:ascii="Times New Roman" w:eastAsia="Times New Roman" w:hAnsi="Times New Roman" w:cs="Times New Roman"/>
          <w:b/>
          <w:sz w:val="24"/>
          <w:szCs w:val="24"/>
          <w:lang w:eastAsia="ru-RU"/>
        </w:rPr>
        <w:t xml:space="preserve">, </w:t>
      </w:r>
      <w:r w:rsidRPr="00AA6522">
        <w:rPr>
          <w:rFonts w:ascii="Times New Roman" w:eastAsia="Times New Roman" w:hAnsi="Times New Roman" w:cs="Times New Roman"/>
          <w:b/>
          <w:sz w:val="24"/>
          <w:szCs w:val="24"/>
          <w:lang w:eastAsia="ru-RU"/>
        </w:rPr>
        <w:t>тыс. рублей</w:t>
      </w:r>
    </w:p>
    <w:tbl>
      <w:tblPr>
        <w:tblStyle w:val="a6"/>
        <w:tblW w:w="9889" w:type="dxa"/>
        <w:tblLayout w:type="fixed"/>
        <w:tblLook w:val="04A0" w:firstRow="1" w:lastRow="0" w:firstColumn="1" w:lastColumn="0" w:noHBand="0" w:noVBand="1"/>
      </w:tblPr>
      <w:tblGrid>
        <w:gridCol w:w="3510"/>
        <w:gridCol w:w="1460"/>
        <w:gridCol w:w="1375"/>
        <w:gridCol w:w="1392"/>
        <w:gridCol w:w="1443"/>
        <w:gridCol w:w="709"/>
      </w:tblGrid>
      <w:tr w:rsidR="008D61EB" w:rsidRPr="00CC7974" w:rsidTr="00A30716">
        <w:trPr>
          <w:trHeight w:val="300"/>
          <w:tblHeader/>
        </w:trPr>
        <w:tc>
          <w:tcPr>
            <w:tcW w:w="3510" w:type="dxa"/>
            <w:vMerge w:val="restart"/>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Наименование</w:t>
            </w:r>
            <w:r>
              <w:rPr>
                <w:b/>
                <w:sz w:val="22"/>
                <w:szCs w:val="22"/>
              </w:rPr>
              <w:t xml:space="preserve"> государственных программ</w:t>
            </w:r>
          </w:p>
        </w:tc>
        <w:tc>
          <w:tcPr>
            <w:tcW w:w="1460" w:type="dxa"/>
            <w:vMerge w:val="restart"/>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Предусмот-рено гос. программой</w:t>
            </w:r>
          </w:p>
        </w:tc>
        <w:tc>
          <w:tcPr>
            <w:tcW w:w="1375" w:type="dxa"/>
            <w:vMerge w:val="restart"/>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Утверждено Законом о бюджете</w:t>
            </w:r>
          </w:p>
        </w:tc>
        <w:tc>
          <w:tcPr>
            <w:tcW w:w="1392" w:type="dxa"/>
            <w:vMerge w:val="restart"/>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План по бюджетной росписи</w:t>
            </w:r>
          </w:p>
        </w:tc>
        <w:tc>
          <w:tcPr>
            <w:tcW w:w="2152" w:type="dxa"/>
            <w:gridSpan w:val="2"/>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Исполнено</w:t>
            </w:r>
          </w:p>
        </w:tc>
      </w:tr>
      <w:tr w:rsidR="008D61EB" w:rsidRPr="00CC7974" w:rsidTr="00A30716">
        <w:trPr>
          <w:trHeight w:val="898"/>
          <w:tblHeader/>
        </w:trPr>
        <w:tc>
          <w:tcPr>
            <w:tcW w:w="3510" w:type="dxa"/>
            <w:vMerge/>
            <w:vAlign w:val="center"/>
            <w:hideMark/>
          </w:tcPr>
          <w:p w:rsidR="008D61EB" w:rsidRPr="005A72AC" w:rsidRDefault="008D61EB" w:rsidP="00A30716">
            <w:pPr>
              <w:widowControl w:val="0"/>
              <w:autoSpaceDE w:val="0"/>
              <w:autoSpaceDN w:val="0"/>
              <w:adjustRightInd w:val="0"/>
              <w:ind w:right="-2"/>
              <w:jc w:val="center"/>
              <w:rPr>
                <w:b/>
                <w:sz w:val="22"/>
                <w:szCs w:val="22"/>
              </w:rPr>
            </w:pPr>
          </w:p>
        </w:tc>
        <w:tc>
          <w:tcPr>
            <w:tcW w:w="1460" w:type="dxa"/>
            <w:vMerge/>
            <w:vAlign w:val="center"/>
            <w:hideMark/>
          </w:tcPr>
          <w:p w:rsidR="008D61EB" w:rsidRPr="005A72AC" w:rsidRDefault="008D61EB" w:rsidP="00A30716">
            <w:pPr>
              <w:widowControl w:val="0"/>
              <w:autoSpaceDE w:val="0"/>
              <w:autoSpaceDN w:val="0"/>
              <w:adjustRightInd w:val="0"/>
              <w:ind w:right="-2"/>
              <w:jc w:val="center"/>
              <w:rPr>
                <w:b/>
                <w:sz w:val="22"/>
                <w:szCs w:val="22"/>
              </w:rPr>
            </w:pPr>
          </w:p>
        </w:tc>
        <w:tc>
          <w:tcPr>
            <w:tcW w:w="1375" w:type="dxa"/>
            <w:vMerge/>
            <w:vAlign w:val="center"/>
            <w:hideMark/>
          </w:tcPr>
          <w:p w:rsidR="008D61EB" w:rsidRPr="005A72AC" w:rsidRDefault="008D61EB" w:rsidP="00A30716">
            <w:pPr>
              <w:widowControl w:val="0"/>
              <w:autoSpaceDE w:val="0"/>
              <w:autoSpaceDN w:val="0"/>
              <w:adjustRightInd w:val="0"/>
              <w:ind w:right="-2"/>
              <w:jc w:val="center"/>
              <w:rPr>
                <w:b/>
                <w:sz w:val="22"/>
                <w:szCs w:val="22"/>
              </w:rPr>
            </w:pPr>
          </w:p>
        </w:tc>
        <w:tc>
          <w:tcPr>
            <w:tcW w:w="1392" w:type="dxa"/>
            <w:vMerge/>
            <w:vAlign w:val="center"/>
            <w:hideMark/>
          </w:tcPr>
          <w:p w:rsidR="008D61EB" w:rsidRPr="005A72AC" w:rsidRDefault="008D61EB" w:rsidP="00A30716">
            <w:pPr>
              <w:widowControl w:val="0"/>
              <w:autoSpaceDE w:val="0"/>
              <w:autoSpaceDN w:val="0"/>
              <w:adjustRightInd w:val="0"/>
              <w:ind w:right="-2"/>
              <w:jc w:val="center"/>
              <w:rPr>
                <w:b/>
                <w:sz w:val="22"/>
                <w:szCs w:val="22"/>
              </w:rPr>
            </w:pPr>
          </w:p>
        </w:tc>
        <w:tc>
          <w:tcPr>
            <w:tcW w:w="1443" w:type="dxa"/>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сумма</w:t>
            </w:r>
          </w:p>
        </w:tc>
        <w:tc>
          <w:tcPr>
            <w:tcW w:w="709" w:type="dxa"/>
            <w:vAlign w:val="center"/>
            <w:hideMark/>
          </w:tcPr>
          <w:p w:rsidR="008D61EB" w:rsidRPr="005A72AC" w:rsidRDefault="008D61EB" w:rsidP="00A30716">
            <w:pPr>
              <w:widowControl w:val="0"/>
              <w:autoSpaceDE w:val="0"/>
              <w:autoSpaceDN w:val="0"/>
              <w:adjustRightInd w:val="0"/>
              <w:ind w:right="-2"/>
              <w:jc w:val="center"/>
              <w:rPr>
                <w:b/>
                <w:sz w:val="22"/>
                <w:szCs w:val="22"/>
              </w:rPr>
            </w:pPr>
            <w:r w:rsidRPr="005A72AC">
              <w:rPr>
                <w:b/>
                <w:sz w:val="22"/>
                <w:szCs w:val="22"/>
              </w:rPr>
              <w:t>%, к бюджет ной рос писи</w:t>
            </w:r>
          </w:p>
        </w:tc>
      </w:tr>
      <w:tr w:rsidR="008D61EB" w:rsidRPr="00CC7974" w:rsidTr="00A30716">
        <w:trPr>
          <w:trHeight w:val="9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1. «Развитие сельского хозяйства и регулирование рынков сельскохозяйственной продукции, сырья и продовольствия Амурской области на 2014 - 2020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1814367,3</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1167552,2</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1814367,5</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1797126,4</w:t>
            </w:r>
          </w:p>
        </w:tc>
        <w:tc>
          <w:tcPr>
            <w:tcW w:w="709" w:type="dxa"/>
            <w:noWrap/>
            <w:vAlign w:val="bottom"/>
            <w:hideMark/>
          </w:tcPr>
          <w:p w:rsidR="008D61EB" w:rsidRPr="0089444A" w:rsidRDefault="008D61EB" w:rsidP="00A30716">
            <w:pPr>
              <w:rPr>
                <w:sz w:val="24"/>
                <w:szCs w:val="24"/>
              </w:rPr>
            </w:pPr>
            <w:r w:rsidRPr="0089444A">
              <w:rPr>
                <w:sz w:val="24"/>
                <w:szCs w:val="24"/>
              </w:rPr>
              <w:t>99,0</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 xml:space="preserve">2. «Развитие системы социальной защиты населения </w:t>
            </w:r>
            <w:r w:rsidRPr="00CC7974">
              <w:rPr>
                <w:sz w:val="24"/>
                <w:szCs w:val="24"/>
              </w:rPr>
              <w:lastRenderedPageBreak/>
              <w:t xml:space="preserve">Амурской области на </w:t>
            </w:r>
            <w:r>
              <w:rPr>
                <w:sz w:val="24"/>
                <w:szCs w:val="24"/>
              </w:rPr>
              <w:br/>
            </w:r>
            <w:r w:rsidRPr="00CC7974">
              <w:rPr>
                <w:sz w:val="24"/>
                <w:szCs w:val="24"/>
              </w:rPr>
              <w:t>2014–2020 гг.»</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lastRenderedPageBreak/>
              <w:t>8653005,3</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8600464,7</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8618667,3</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8525823,7</w:t>
            </w:r>
          </w:p>
        </w:tc>
        <w:tc>
          <w:tcPr>
            <w:tcW w:w="709" w:type="dxa"/>
            <w:noWrap/>
            <w:vAlign w:val="bottom"/>
            <w:hideMark/>
          </w:tcPr>
          <w:p w:rsidR="008D61EB" w:rsidRPr="0089444A" w:rsidRDefault="008D61EB" w:rsidP="00A30716">
            <w:pPr>
              <w:rPr>
                <w:sz w:val="24"/>
                <w:szCs w:val="24"/>
              </w:rPr>
            </w:pPr>
            <w:r w:rsidRPr="0089444A">
              <w:rPr>
                <w:sz w:val="24"/>
                <w:szCs w:val="24"/>
              </w:rPr>
              <w:t>98,9</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lastRenderedPageBreak/>
              <w:t xml:space="preserve">3. «Развитие и сохранение культуры и искусства Амурской области на </w:t>
            </w:r>
            <w:r>
              <w:rPr>
                <w:sz w:val="24"/>
                <w:szCs w:val="24"/>
              </w:rPr>
              <w:br/>
            </w:r>
            <w:r w:rsidRPr="00CC7974">
              <w:rPr>
                <w:sz w:val="24"/>
                <w:szCs w:val="24"/>
              </w:rPr>
              <w:t>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363801,9</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363011,8</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363801,9</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363248,4</w:t>
            </w:r>
          </w:p>
        </w:tc>
        <w:tc>
          <w:tcPr>
            <w:tcW w:w="709" w:type="dxa"/>
            <w:noWrap/>
            <w:vAlign w:val="bottom"/>
            <w:hideMark/>
          </w:tcPr>
          <w:p w:rsidR="008D61EB" w:rsidRPr="0089444A" w:rsidRDefault="008D61EB" w:rsidP="00A30716">
            <w:pPr>
              <w:rPr>
                <w:sz w:val="24"/>
                <w:szCs w:val="24"/>
              </w:rPr>
            </w:pPr>
            <w:r w:rsidRPr="0089444A">
              <w:rPr>
                <w:sz w:val="24"/>
                <w:szCs w:val="24"/>
              </w:rPr>
              <w:t>99,8</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 xml:space="preserve">4. «Охрана окружающей среды в Амурской области на </w:t>
            </w:r>
            <w:r>
              <w:rPr>
                <w:sz w:val="24"/>
                <w:szCs w:val="24"/>
              </w:rPr>
              <w:br/>
            </w:r>
            <w:r w:rsidRPr="00CC7974">
              <w:rPr>
                <w:sz w:val="24"/>
                <w:szCs w:val="24"/>
              </w:rPr>
              <w:t>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563520,8</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563520,8</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599020,8</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585954,8</w:t>
            </w:r>
          </w:p>
        </w:tc>
        <w:tc>
          <w:tcPr>
            <w:tcW w:w="709" w:type="dxa"/>
            <w:noWrap/>
            <w:vAlign w:val="bottom"/>
            <w:hideMark/>
          </w:tcPr>
          <w:p w:rsidR="008D61EB" w:rsidRPr="0089444A" w:rsidRDefault="008D61EB" w:rsidP="00A30716">
            <w:pPr>
              <w:rPr>
                <w:sz w:val="24"/>
                <w:szCs w:val="24"/>
              </w:rPr>
            </w:pPr>
            <w:r w:rsidRPr="0089444A">
              <w:rPr>
                <w:sz w:val="24"/>
                <w:szCs w:val="24"/>
              </w:rPr>
              <w:t>97,8</w:t>
            </w:r>
          </w:p>
        </w:tc>
      </w:tr>
      <w:tr w:rsidR="008D61EB" w:rsidRPr="00CC7974" w:rsidTr="00A30716">
        <w:trPr>
          <w:trHeight w:val="12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5. «Модернизация жилищно–коммунального комплекса, энергосбережение и повышение энергетической эффективности в Амурской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3635577,3</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3627994,0</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3636027,3</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3333706,8</w:t>
            </w:r>
          </w:p>
        </w:tc>
        <w:tc>
          <w:tcPr>
            <w:tcW w:w="709" w:type="dxa"/>
            <w:noWrap/>
            <w:vAlign w:val="bottom"/>
            <w:hideMark/>
          </w:tcPr>
          <w:p w:rsidR="008D61EB" w:rsidRPr="0089444A" w:rsidRDefault="008D61EB" w:rsidP="00A30716">
            <w:pPr>
              <w:rPr>
                <w:sz w:val="24"/>
                <w:szCs w:val="24"/>
              </w:rPr>
            </w:pPr>
            <w:r w:rsidRPr="0089444A">
              <w:rPr>
                <w:sz w:val="24"/>
                <w:szCs w:val="24"/>
              </w:rPr>
              <w:t>91,7</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 xml:space="preserve">6. «Развитие здравоохранения Амурской области на </w:t>
            </w:r>
            <w:r>
              <w:rPr>
                <w:sz w:val="24"/>
                <w:szCs w:val="24"/>
              </w:rPr>
              <w:br/>
            </w:r>
            <w:r w:rsidRPr="00CC7974">
              <w:rPr>
                <w:sz w:val="24"/>
                <w:szCs w:val="24"/>
              </w:rPr>
              <w:t>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7699288,0</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7699288,0</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7954075,1</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7922390,8</w:t>
            </w:r>
          </w:p>
        </w:tc>
        <w:tc>
          <w:tcPr>
            <w:tcW w:w="709" w:type="dxa"/>
            <w:noWrap/>
            <w:vAlign w:val="bottom"/>
            <w:hideMark/>
          </w:tcPr>
          <w:p w:rsidR="008D61EB" w:rsidRPr="0089444A" w:rsidRDefault="008D61EB" w:rsidP="00A30716">
            <w:pPr>
              <w:rPr>
                <w:sz w:val="24"/>
                <w:szCs w:val="24"/>
              </w:rPr>
            </w:pPr>
            <w:r w:rsidRPr="0089444A">
              <w:rPr>
                <w:sz w:val="24"/>
                <w:szCs w:val="24"/>
              </w:rPr>
              <w:t>99,6</w:t>
            </w:r>
          </w:p>
        </w:tc>
      </w:tr>
      <w:tr w:rsidR="008D61EB" w:rsidRPr="00CC7974" w:rsidTr="00A30716">
        <w:trPr>
          <w:trHeight w:val="9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7. «Обеспечение доступным и качественным жильем населения Амурской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1661238,9</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1650733,0</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1659008,9</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1559131,4</w:t>
            </w:r>
          </w:p>
        </w:tc>
        <w:tc>
          <w:tcPr>
            <w:tcW w:w="709" w:type="dxa"/>
            <w:noWrap/>
            <w:vAlign w:val="bottom"/>
            <w:hideMark/>
          </w:tcPr>
          <w:p w:rsidR="008D61EB" w:rsidRPr="0089444A" w:rsidRDefault="008D61EB" w:rsidP="00A30716">
            <w:pPr>
              <w:rPr>
                <w:sz w:val="24"/>
                <w:szCs w:val="24"/>
              </w:rPr>
            </w:pPr>
            <w:r w:rsidRPr="0089444A">
              <w:rPr>
                <w:sz w:val="24"/>
                <w:szCs w:val="24"/>
              </w:rPr>
              <w:t>94,0</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 xml:space="preserve">8. «Экономическое развитие и инновационная экономика Амурской области на </w:t>
            </w:r>
            <w:r>
              <w:rPr>
                <w:sz w:val="24"/>
                <w:szCs w:val="24"/>
              </w:rPr>
              <w:br/>
            </w:r>
            <w:r w:rsidRPr="00CC7974">
              <w:rPr>
                <w:sz w:val="24"/>
                <w:szCs w:val="24"/>
              </w:rPr>
              <w:t>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864775,9</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864775,9</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878635,9</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875952,0</w:t>
            </w:r>
          </w:p>
        </w:tc>
        <w:tc>
          <w:tcPr>
            <w:tcW w:w="709" w:type="dxa"/>
            <w:noWrap/>
            <w:vAlign w:val="bottom"/>
            <w:hideMark/>
          </w:tcPr>
          <w:p w:rsidR="008D61EB" w:rsidRPr="0089444A" w:rsidRDefault="008D61EB" w:rsidP="00A30716">
            <w:pPr>
              <w:rPr>
                <w:sz w:val="24"/>
                <w:szCs w:val="24"/>
              </w:rPr>
            </w:pPr>
            <w:r w:rsidRPr="0089444A">
              <w:rPr>
                <w:sz w:val="24"/>
                <w:szCs w:val="24"/>
              </w:rPr>
              <w:t>99,7</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9. «Развитие физической культуры и спорта на территории Амурской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175467,7</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175467,7</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175467,7</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175295,7</w:t>
            </w:r>
          </w:p>
        </w:tc>
        <w:tc>
          <w:tcPr>
            <w:tcW w:w="709" w:type="dxa"/>
            <w:noWrap/>
            <w:vAlign w:val="bottom"/>
            <w:hideMark/>
          </w:tcPr>
          <w:p w:rsidR="008D61EB" w:rsidRPr="0089444A" w:rsidRDefault="008D61EB" w:rsidP="00A30716">
            <w:pPr>
              <w:rPr>
                <w:sz w:val="24"/>
                <w:szCs w:val="24"/>
              </w:rPr>
            </w:pPr>
            <w:r w:rsidRPr="0089444A">
              <w:rPr>
                <w:sz w:val="24"/>
                <w:szCs w:val="24"/>
              </w:rPr>
              <w:t>99,9</w:t>
            </w:r>
          </w:p>
        </w:tc>
      </w:tr>
      <w:tr w:rsidR="008D61EB" w:rsidRPr="00CC7974" w:rsidTr="00A30716">
        <w:trPr>
          <w:trHeight w:val="9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10. «Повышение эффективности деятельности органов государственной власти и управления Амурской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5809081,2</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5809081,2</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5807735,5</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5746206,0</w:t>
            </w:r>
          </w:p>
        </w:tc>
        <w:tc>
          <w:tcPr>
            <w:tcW w:w="709" w:type="dxa"/>
            <w:noWrap/>
            <w:vAlign w:val="bottom"/>
            <w:hideMark/>
          </w:tcPr>
          <w:p w:rsidR="008D61EB" w:rsidRPr="0089444A" w:rsidRDefault="008D61EB" w:rsidP="00A30716">
            <w:pPr>
              <w:rPr>
                <w:sz w:val="24"/>
                <w:szCs w:val="24"/>
              </w:rPr>
            </w:pPr>
            <w:r w:rsidRPr="0089444A">
              <w:rPr>
                <w:sz w:val="24"/>
                <w:szCs w:val="24"/>
              </w:rPr>
              <w:t>98,9</w:t>
            </w:r>
          </w:p>
        </w:tc>
      </w:tr>
      <w:tr w:rsidR="008D61EB" w:rsidRPr="00CC7974" w:rsidTr="00A30716">
        <w:trPr>
          <w:trHeight w:val="1245"/>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11.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823431,6</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823431,7</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823431,7</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808107,4</w:t>
            </w:r>
          </w:p>
        </w:tc>
        <w:tc>
          <w:tcPr>
            <w:tcW w:w="709" w:type="dxa"/>
            <w:noWrap/>
            <w:vAlign w:val="bottom"/>
            <w:hideMark/>
          </w:tcPr>
          <w:p w:rsidR="008D61EB" w:rsidRPr="0089444A" w:rsidRDefault="008D61EB" w:rsidP="00A30716">
            <w:pPr>
              <w:rPr>
                <w:sz w:val="24"/>
                <w:szCs w:val="24"/>
              </w:rPr>
            </w:pPr>
            <w:r w:rsidRPr="0089444A">
              <w:rPr>
                <w:sz w:val="24"/>
                <w:szCs w:val="24"/>
              </w:rPr>
              <w:t>98,1</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12. «Развитие образования Амурской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8545768,9</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8545769,0</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8545761,4</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8539710,4</w:t>
            </w:r>
          </w:p>
        </w:tc>
        <w:tc>
          <w:tcPr>
            <w:tcW w:w="709" w:type="dxa"/>
            <w:noWrap/>
            <w:vAlign w:val="bottom"/>
            <w:hideMark/>
          </w:tcPr>
          <w:p w:rsidR="008D61EB" w:rsidRPr="0089444A" w:rsidRDefault="008D61EB" w:rsidP="00A30716">
            <w:pPr>
              <w:rPr>
                <w:sz w:val="24"/>
                <w:szCs w:val="24"/>
              </w:rPr>
            </w:pPr>
            <w:r w:rsidRPr="0089444A">
              <w:rPr>
                <w:sz w:val="24"/>
                <w:szCs w:val="24"/>
              </w:rPr>
              <w:t>99,9</w:t>
            </w:r>
          </w:p>
        </w:tc>
      </w:tr>
      <w:tr w:rsidR="008D61EB" w:rsidRPr="00CC7974" w:rsidTr="00A30716">
        <w:trPr>
          <w:trHeight w:val="600"/>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lastRenderedPageBreak/>
              <w:t>13. «Развитие транспортной системы Амурской области на 2014–2020 годы»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6076797,6</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6076797,6</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6076797,6</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5390348,3</w:t>
            </w:r>
          </w:p>
        </w:tc>
        <w:tc>
          <w:tcPr>
            <w:tcW w:w="709" w:type="dxa"/>
            <w:noWrap/>
            <w:vAlign w:val="bottom"/>
            <w:hideMark/>
          </w:tcPr>
          <w:p w:rsidR="008D61EB" w:rsidRPr="0089444A" w:rsidRDefault="008D61EB" w:rsidP="00A30716">
            <w:pPr>
              <w:rPr>
                <w:sz w:val="24"/>
                <w:szCs w:val="24"/>
              </w:rPr>
            </w:pPr>
            <w:r w:rsidRPr="0089444A">
              <w:rPr>
                <w:sz w:val="24"/>
                <w:szCs w:val="24"/>
              </w:rPr>
              <w:t>88,7</w:t>
            </w:r>
          </w:p>
        </w:tc>
      </w:tr>
      <w:tr w:rsidR="008D61EB" w:rsidRPr="00CC7974" w:rsidTr="00A30716">
        <w:trPr>
          <w:trHeight w:val="375"/>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ИТОГО:</w:t>
            </w:r>
          </w:p>
        </w:tc>
        <w:tc>
          <w:tcPr>
            <w:tcW w:w="1460" w:type="dxa"/>
            <w:vAlign w:val="bottom"/>
            <w:hideMark/>
          </w:tcPr>
          <w:p w:rsidR="008D61EB" w:rsidRPr="006E70B9" w:rsidRDefault="008D61EB" w:rsidP="00A30716">
            <w:pPr>
              <w:jc w:val="right"/>
              <w:rPr>
                <w:b/>
                <w:bCs/>
                <w:sz w:val="24"/>
                <w:szCs w:val="24"/>
              </w:rPr>
            </w:pPr>
            <w:r w:rsidRPr="006E70B9">
              <w:rPr>
                <w:b/>
                <w:bCs/>
                <w:sz w:val="24"/>
                <w:szCs w:val="24"/>
              </w:rPr>
              <w:t>46686122,4</w:t>
            </w:r>
          </w:p>
        </w:tc>
        <w:tc>
          <w:tcPr>
            <w:tcW w:w="1375" w:type="dxa"/>
            <w:noWrap/>
            <w:vAlign w:val="bottom"/>
            <w:hideMark/>
          </w:tcPr>
          <w:p w:rsidR="008D61EB" w:rsidRPr="006E70B9" w:rsidRDefault="008D61EB" w:rsidP="00A30716">
            <w:pPr>
              <w:jc w:val="right"/>
              <w:rPr>
                <w:b/>
                <w:bCs/>
                <w:sz w:val="24"/>
                <w:szCs w:val="24"/>
              </w:rPr>
            </w:pPr>
            <w:r w:rsidRPr="006E70B9">
              <w:rPr>
                <w:b/>
                <w:bCs/>
                <w:sz w:val="24"/>
                <w:szCs w:val="24"/>
              </w:rPr>
              <w:t>45967887,6</w:t>
            </w:r>
          </w:p>
        </w:tc>
        <w:tc>
          <w:tcPr>
            <w:tcW w:w="1392" w:type="dxa"/>
            <w:noWrap/>
            <w:vAlign w:val="bottom"/>
            <w:hideMark/>
          </w:tcPr>
          <w:p w:rsidR="008D61EB" w:rsidRPr="006E70B9" w:rsidRDefault="008D61EB" w:rsidP="00A30716">
            <w:pPr>
              <w:jc w:val="right"/>
              <w:rPr>
                <w:b/>
                <w:bCs/>
                <w:sz w:val="24"/>
                <w:szCs w:val="24"/>
              </w:rPr>
            </w:pPr>
            <w:r w:rsidRPr="006E70B9">
              <w:rPr>
                <w:b/>
                <w:bCs/>
                <w:sz w:val="24"/>
                <w:szCs w:val="24"/>
              </w:rPr>
              <w:t>46952798,6</w:t>
            </w:r>
          </w:p>
        </w:tc>
        <w:tc>
          <w:tcPr>
            <w:tcW w:w="1443" w:type="dxa"/>
            <w:noWrap/>
            <w:vAlign w:val="bottom"/>
            <w:hideMark/>
          </w:tcPr>
          <w:p w:rsidR="008D61EB" w:rsidRPr="006E70B9" w:rsidRDefault="008D61EB" w:rsidP="00A30716">
            <w:pPr>
              <w:jc w:val="right"/>
              <w:rPr>
                <w:b/>
                <w:bCs/>
                <w:sz w:val="24"/>
                <w:szCs w:val="24"/>
              </w:rPr>
            </w:pPr>
            <w:r w:rsidRPr="006E70B9">
              <w:rPr>
                <w:b/>
                <w:bCs/>
                <w:sz w:val="24"/>
                <w:szCs w:val="24"/>
              </w:rPr>
              <w:t>45623002,1</w:t>
            </w:r>
          </w:p>
        </w:tc>
        <w:tc>
          <w:tcPr>
            <w:tcW w:w="709" w:type="dxa"/>
            <w:noWrap/>
            <w:vAlign w:val="bottom"/>
            <w:hideMark/>
          </w:tcPr>
          <w:p w:rsidR="008D61EB" w:rsidRPr="0089444A" w:rsidRDefault="008D61EB" w:rsidP="00A30716">
            <w:pPr>
              <w:rPr>
                <w:sz w:val="24"/>
                <w:szCs w:val="24"/>
              </w:rPr>
            </w:pPr>
            <w:r w:rsidRPr="0089444A">
              <w:rPr>
                <w:sz w:val="24"/>
                <w:szCs w:val="24"/>
              </w:rPr>
              <w:t>97,2</w:t>
            </w:r>
          </w:p>
        </w:tc>
      </w:tr>
      <w:tr w:rsidR="008D61EB" w:rsidRPr="00CC7974" w:rsidTr="00A30716">
        <w:trPr>
          <w:trHeight w:val="375"/>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Непрограммные расходы:</w:t>
            </w:r>
          </w:p>
        </w:tc>
        <w:tc>
          <w:tcPr>
            <w:tcW w:w="1460" w:type="dxa"/>
            <w:vAlign w:val="bottom"/>
            <w:hideMark/>
          </w:tcPr>
          <w:p w:rsidR="008D61EB" w:rsidRPr="006E70B9" w:rsidRDefault="008D61EB" w:rsidP="00A30716">
            <w:pPr>
              <w:jc w:val="right"/>
              <w:rPr>
                <w:color w:val="000000"/>
                <w:sz w:val="24"/>
                <w:szCs w:val="24"/>
              </w:rPr>
            </w:pPr>
            <w:r w:rsidRPr="006E70B9">
              <w:rPr>
                <w:color w:val="000000"/>
                <w:sz w:val="24"/>
                <w:szCs w:val="24"/>
              </w:rPr>
              <w:t>х</w:t>
            </w:r>
          </w:p>
        </w:tc>
        <w:tc>
          <w:tcPr>
            <w:tcW w:w="1375" w:type="dxa"/>
            <w:noWrap/>
            <w:vAlign w:val="bottom"/>
            <w:hideMark/>
          </w:tcPr>
          <w:p w:rsidR="008D61EB" w:rsidRPr="006E70B9" w:rsidRDefault="008D61EB" w:rsidP="00A30716">
            <w:pPr>
              <w:jc w:val="right"/>
              <w:rPr>
                <w:color w:val="000000"/>
                <w:sz w:val="24"/>
                <w:szCs w:val="24"/>
              </w:rPr>
            </w:pPr>
            <w:r w:rsidRPr="006E70B9">
              <w:rPr>
                <w:color w:val="000000"/>
                <w:sz w:val="24"/>
                <w:szCs w:val="24"/>
              </w:rPr>
              <w:t>613365,0</w:t>
            </w:r>
          </w:p>
        </w:tc>
        <w:tc>
          <w:tcPr>
            <w:tcW w:w="1392" w:type="dxa"/>
            <w:noWrap/>
            <w:vAlign w:val="bottom"/>
            <w:hideMark/>
          </w:tcPr>
          <w:p w:rsidR="008D61EB" w:rsidRPr="006E70B9" w:rsidRDefault="008D61EB" w:rsidP="00A30716">
            <w:pPr>
              <w:jc w:val="right"/>
              <w:rPr>
                <w:color w:val="000000"/>
                <w:sz w:val="24"/>
                <w:szCs w:val="24"/>
              </w:rPr>
            </w:pPr>
            <w:r w:rsidRPr="006E70B9">
              <w:rPr>
                <w:color w:val="000000"/>
                <w:sz w:val="24"/>
                <w:szCs w:val="24"/>
              </w:rPr>
              <w:t>624055,6</w:t>
            </w:r>
          </w:p>
        </w:tc>
        <w:tc>
          <w:tcPr>
            <w:tcW w:w="1443" w:type="dxa"/>
            <w:noWrap/>
            <w:vAlign w:val="bottom"/>
            <w:hideMark/>
          </w:tcPr>
          <w:p w:rsidR="008D61EB" w:rsidRPr="006E70B9" w:rsidRDefault="008D61EB" w:rsidP="00A30716">
            <w:pPr>
              <w:jc w:val="right"/>
              <w:rPr>
                <w:color w:val="000000"/>
                <w:sz w:val="24"/>
                <w:szCs w:val="24"/>
              </w:rPr>
            </w:pPr>
            <w:r w:rsidRPr="006E70B9">
              <w:rPr>
                <w:color w:val="000000"/>
                <w:sz w:val="24"/>
                <w:szCs w:val="24"/>
              </w:rPr>
              <w:t>611257,2</w:t>
            </w:r>
          </w:p>
        </w:tc>
        <w:tc>
          <w:tcPr>
            <w:tcW w:w="709" w:type="dxa"/>
            <w:noWrap/>
            <w:vAlign w:val="bottom"/>
            <w:hideMark/>
          </w:tcPr>
          <w:p w:rsidR="008D61EB" w:rsidRPr="0089444A" w:rsidRDefault="008D61EB" w:rsidP="00A30716">
            <w:pPr>
              <w:rPr>
                <w:sz w:val="24"/>
                <w:szCs w:val="24"/>
              </w:rPr>
            </w:pPr>
            <w:r w:rsidRPr="0089444A">
              <w:rPr>
                <w:sz w:val="24"/>
                <w:szCs w:val="24"/>
              </w:rPr>
              <w:t>97,9</w:t>
            </w:r>
          </w:p>
        </w:tc>
      </w:tr>
      <w:tr w:rsidR="008D61EB" w:rsidRPr="00CC7974" w:rsidTr="00A30716">
        <w:trPr>
          <w:trHeight w:val="375"/>
        </w:trPr>
        <w:tc>
          <w:tcPr>
            <w:tcW w:w="3510" w:type="dxa"/>
            <w:hideMark/>
          </w:tcPr>
          <w:p w:rsidR="008D61EB" w:rsidRPr="00CC7974" w:rsidRDefault="008D61EB" w:rsidP="008D61EB">
            <w:pPr>
              <w:widowControl w:val="0"/>
              <w:autoSpaceDE w:val="0"/>
              <w:autoSpaceDN w:val="0"/>
              <w:adjustRightInd w:val="0"/>
              <w:ind w:right="-2"/>
              <w:rPr>
                <w:sz w:val="24"/>
                <w:szCs w:val="24"/>
              </w:rPr>
            </w:pPr>
            <w:r w:rsidRPr="00CC7974">
              <w:rPr>
                <w:sz w:val="24"/>
                <w:szCs w:val="24"/>
              </w:rPr>
              <w:t>ВСЕГО:</w:t>
            </w:r>
          </w:p>
        </w:tc>
        <w:tc>
          <w:tcPr>
            <w:tcW w:w="1460" w:type="dxa"/>
            <w:vAlign w:val="bottom"/>
            <w:hideMark/>
          </w:tcPr>
          <w:p w:rsidR="008D61EB" w:rsidRPr="006E70B9" w:rsidRDefault="008D61EB" w:rsidP="00A30716">
            <w:pPr>
              <w:jc w:val="right"/>
              <w:rPr>
                <w:b/>
                <w:bCs/>
                <w:color w:val="000000"/>
                <w:sz w:val="24"/>
                <w:szCs w:val="24"/>
              </w:rPr>
            </w:pPr>
            <w:r w:rsidRPr="006E70B9">
              <w:rPr>
                <w:b/>
                <w:bCs/>
                <w:color w:val="000000"/>
                <w:sz w:val="24"/>
                <w:szCs w:val="24"/>
              </w:rPr>
              <w:t>46686122,4</w:t>
            </w:r>
          </w:p>
        </w:tc>
        <w:tc>
          <w:tcPr>
            <w:tcW w:w="1375" w:type="dxa"/>
            <w:noWrap/>
            <w:vAlign w:val="bottom"/>
            <w:hideMark/>
          </w:tcPr>
          <w:p w:rsidR="008D61EB" w:rsidRPr="006E70B9" w:rsidRDefault="008D61EB" w:rsidP="00A30716">
            <w:pPr>
              <w:jc w:val="right"/>
              <w:rPr>
                <w:b/>
                <w:bCs/>
                <w:sz w:val="24"/>
                <w:szCs w:val="24"/>
              </w:rPr>
            </w:pPr>
            <w:r w:rsidRPr="006E70B9">
              <w:rPr>
                <w:b/>
                <w:bCs/>
                <w:sz w:val="24"/>
                <w:szCs w:val="24"/>
              </w:rPr>
              <w:t>46581252,6</w:t>
            </w:r>
          </w:p>
        </w:tc>
        <w:tc>
          <w:tcPr>
            <w:tcW w:w="1392" w:type="dxa"/>
            <w:noWrap/>
            <w:vAlign w:val="bottom"/>
            <w:hideMark/>
          </w:tcPr>
          <w:p w:rsidR="008D61EB" w:rsidRPr="006E70B9" w:rsidRDefault="008D61EB" w:rsidP="00A30716">
            <w:pPr>
              <w:jc w:val="right"/>
              <w:rPr>
                <w:b/>
                <w:bCs/>
                <w:sz w:val="24"/>
                <w:szCs w:val="24"/>
              </w:rPr>
            </w:pPr>
            <w:r w:rsidRPr="006E70B9">
              <w:rPr>
                <w:b/>
                <w:bCs/>
                <w:sz w:val="24"/>
                <w:szCs w:val="24"/>
              </w:rPr>
              <w:t>47576854,2</w:t>
            </w:r>
          </w:p>
        </w:tc>
        <w:tc>
          <w:tcPr>
            <w:tcW w:w="1443" w:type="dxa"/>
            <w:noWrap/>
            <w:vAlign w:val="bottom"/>
            <w:hideMark/>
          </w:tcPr>
          <w:p w:rsidR="008D61EB" w:rsidRPr="006E70B9" w:rsidRDefault="008D61EB" w:rsidP="00A30716">
            <w:pPr>
              <w:jc w:val="right"/>
              <w:rPr>
                <w:b/>
                <w:bCs/>
                <w:sz w:val="24"/>
                <w:szCs w:val="24"/>
              </w:rPr>
            </w:pPr>
            <w:r w:rsidRPr="006E70B9">
              <w:rPr>
                <w:b/>
                <w:bCs/>
                <w:sz w:val="24"/>
                <w:szCs w:val="24"/>
              </w:rPr>
              <w:t>46234259,3</w:t>
            </w:r>
          </w:p>
        </w:tc>
        <w:tc>
          <w:tcPr>
            <w:tcW w:w="709" w:type="dxa"/>
            <w:noWrap/>
            <w:vAlign w:val="bottom"/>
            <w:hideMark/>
          </w:tcPr>
          <w:p w:rsidR="008D61EB" w:rsidRPr="0089444A" w:rsidRDefault="008D61EB" w:rsidP="00A30716">
            <w:pPr>
              <w:rPr>
                <w:sz w:val="24"/>
                <w:szCs w:val="24"/>
              </w:rPr>
            </w:pPr>
            <w:r w:rsidRPr="0089444A">
              <w:rPr>
                <w:sz w:val="24"/>
                <w:szCs w:val="24"/>
              </w:rPr>
              <w:t>97,2</w:t>
            </w:r>
          </w:p>
        </w:tc>
      </w:tr>
    </w:tbl>
    <w:p w:rsidR="008D61EB" w:rsidRPr="000419AE"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0419AE">
        <w:rPr>
          <w:rFonts w:ascii="Times New Roman" w:eastAsia="Times New Roman" w:hAnsi="Times New Roman" w:cs="Times New Roman"/>
          <w:sz w:val="24"/>
          <w:szCs w:val="24"/>
          <w:lang w:eastAsia="ru-RU"/>
        </w:rPr>
        <w:t>Непрограммная часть областного бюджета финансировалась за счет средств областного бюджета, а также за счет средств федерального бюджета в части расходов:</w:t>
      </w:r>
    </w:p>
    <w:p w:rsidR="008D61EB" w:rsidRPr="000419AE"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0419AE">
        <w:rPr>
          <w:rFonts w:ascii="Times New Roman" w:eastAsia="Times New Roman" w:hAnsi="Times New Roman" w:cs="Times New Roman"/>
          <w:sz w:val="24"/>
          <w:szCs w:val="24"/>
          <w:lang w:eastAsia="ru-RU"/>
        </w:rPr>
        <w:t xml:space="preserve">- на обеспечение деятельности депутатов Государственной Думы и их помощников в избирательных округах – 5347,3 тыс. рублей; </w:t>
      </w:r>
    </w:p>
    <w:p w:rsidR="008D61EB" w:rsidRPr="000419AE"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0419AE">
        <w:rPr>
          <w:rFonts w:ascii="Times New Roman" w:eastAsia="Times New Roman" w:hAnsi="Times New Roman" w:cs="Times New Roman"/>
          <w:sz w:val="24"/>
          <w:szCs w:val="24"/>
          <w:lang w:eastAsia="ru-RU"/>
        </w:rPr>
        <w:t xml:space="preserve">- на обеспечение членов Совета Федерации и их помощников в субъектах Российской Федерации – 4157,7 тыс. рублей; </w:t>
      </w:r>
    </w:p>
    <w:p w:rsidR="008D61EB" w:rsidRPr="000419AE"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0419AE">
        <w:rPr>
          <w:rFonts w:ascii="Times New Roman" w:eastAsia="Times New Roman" w:hAnsi="Times New Roman" w:cs="Times New Roman"/>
          <w:sz w:val="24"/>
          <w:szCs w:val="24"/>
          <w:lang w:eastAsia="ru-RU"/>
        </w:rPr>
        <w:t>- на осуществление первичного воинского учета на территориях, где отсутствуют военные комиссариаты – 30982,8 тыс. рублей.</w:t>
      </w:r>
    </w:p>
    <w:p w:rsidR="008D61EB" w:rsidRPr="002138F6"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2138F6">
        <w:rPr>
          <w:rFonts w:ascii="Times New Roman" w:eastAsia="Times New Roman" w:hAnsi="Times New Roman" w:cs="Times New Roman"/>
          <w:sz w:val="24"/>
          <w:szCs w:val="24"/>
          <w:lang w:eastAsia="ru-RU"/>
        </w:rPr>
        <w:t>Программная часть областного бюджета включает расходы по 13 государственным программам, источниками финансирования которых являлись средства бюджетов различного уровня бюджетной системы Российской Федерации и внебюджетные источники.</w:t>
      </w:r>
    </w:p>
    <w:p w:rsidR="008D61EB" w:rsidRPr="002138F6"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2138F6">
        <w:rPr>
          <w:rFonts w:ascii="Times New Roman" w:eastAsia="Times New Roman" w:hAnsi="Times New Roman" w:cs="Times New Roman"/>
          <w:sz w:val="24"/>
          <w:szCs w:val="24"/>
          <w:lang w:eastAsia="ru-RU"/>
        </w:rPr>
        <w:t>Анализ расходования средств, предусмотренных на реализацию государственных программ Амурской области, по каждой государственной программе приведен далее по тексту заключения.</w:t>
      </w:r>
    </w:p>
    <w:p w:rsidR="008D61EB" w:rsidRDefault="008D61EB" w:rsidP="00A8101B">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257303">
        <w:rPr>
          <w:rFonts w:ascii="Times New Roman" w:eastAsia="Times New Roman" w:hAnsi="Times New Roman" w:cs="Times New Roman"/>
          <w:sz w:val="24"/>
          <w:szCs w:val="24"/>
          <w:lang w:eastAsia="ru-RU"/>
        </w:rPr>
        <w:t xml:space="preserve">Структура расходов областного бюджета за 2017 год в разрезе государственных программ и непрограммных расходов представлена на рисунке </w:t>
      </w:r>
      <w:r>
        <w:rPr>
          <w:rFonts w:ascii="Times New Roman" w:eastAsia="Times New Roman" w:hAnsi="Times New Roman" w:cs="Times New Roman"/>
          <w:sz w:val="24"/>
          <w:szCs w:val="24"/>
          <w:lang w:eastAsia="ru-RU"/>
        </w:rPr>
        <w:t>20.</w:t>
      </w:r>
    </w:p>
    <w:p w:rsidR="008D61EB" w:rsidRDefault="008D61EB" w:rsidP="00A307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0618">
        <w:rPr>
          <w:rFonts w:ascii="Times New Roman" w:eastAsia="Times New Roman" w:hAnsi="Times New Roman" w:cs="Times New Roman"/>
          <w:noProof/>
          <w:color w:val="FF0000"/>
          <w:sz w:val="24"/>
          <w:szCs w:val="24"/>
          <w:lang w:eastAsia="ru-RU"/>
        </w:rPr>
        <w:drawing>
          <wp:inline distT="0" distB="0" distL="0" distR="0" wp14:anchorId="4C8C517D" wp14:editId="3E1F17AE">
            <wp:extent cx="6133382" cy="427870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eastAsia="Times New Roman" w:hAnsi="Times New Roman" w:cs="Times New Roman"/>
          <w:b/>
          <w:sz w:val="24"/>
          <w:szCs w:val="24"/>
          <w:lang w:eastAsia="ru-RU"/>
        </w:rPr>
        <w:t>Рис. 20 - Структура расходов областного бюджета за 2017 год</w:t>
      </w:r>
    </w:p>
    <w:p w:rsidR="00A30716" w:rsidRPr="00AF290D" w:rsidRDefault="00A30716" w:rsidP="00A3071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F36CC">
        <w:rPr>
          <w:rFonts w:ascii="Times New Roman" w:eastAsia="Times New Roman" w:hAnsi="Times New Roman" w:cs="Times New Roman"/>
          <w:b/>
          <w:sz w:val="24"/>
          <w:szCs w:val="24"/>
          <w:lang w:eastAsia="ru-RU"/>
        </w:rPr>
        <w:lastRenderedPageBreak/>
        <w:t xml:space="preserve">5.1. Исполнение расходов областного бюджета за 2017 год в </w:t>
      </w:r>
      <w:r w:rsidRPr="00AF290D">
        <w:rPr>
          <w:rFonts w:ascii="Times New Roman" w:eastAsia="Times New Roman" w:hAnsi="Times New Roman" w:cs="Times New Roman"/>
          <w:b/>
          <w:sz w:val="24"/>
          <w:szCs w:val="24"/>
          <w:lang w:eastAsia="ru-RU"/>
        </w:rPr>
        <w:t xml:space="preserve">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w:t>
      </w:r>
      <w:r w:rsidRPr="00AF290D">
        <w:rPr>
          <w:rFonts w:ascii="Times New Roman" w:eastAsia="Times New Roman" w:hAnsi="Times New Roman" w:cs="Times New Roman"/>
          <w:b/>
          <w:sz w:val="24"/>
          <w:szCs w:val="24"/>
          <w:lang w:eastAsia="ru-RU"/>
        </w:rPr>
        <w:br/>
        <w:t>2014-2020 годы»</w:t>
      </w:r>
    </w:p>
    <w:p w:rsidR="00A30716" w:rsidRPr="00AF290D"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AF290D">
        <w:rPr>
          <w:rFonts w:ascii="Times New Roman" w:eastAsia="Times New Roman" w:hAnsi="Times New Roman" w:cs="Times New Roman"/>
          <w:sz w:val="24"/>
          <w:szCs w:val="24"/>
          <w:lang w:eastAsia="ru-RU"/>
        </w:rPr>
        <w:t xml:space="preserve">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на </w:t>
      </w:r>
      <w:r w:rsidRPr="00AF290D">
        <w:rPr>
          <w:rFonts w:ascii="Times New Roman" w:eastAsia="Times New Roman" w:hAnsi="Times New Roman" w:cs="Times New Roman"/>
          <w:sz w:val="24"/>
          <w:szCs w:val="24"/>
          <w:lang w:eastAsia="ru-RU"/>
        </w:rPr>
        <w:br/>
        <w:t>2014-2020 годы» утверждена постановлением Правительства Амурской области от 25.09.2013 № 447 (с изменениями и дополнениями) с объемом ассигнований на 2017 год – 1814367,3 тыс. рублей, в том числе:</w:t>
      </w:r>
    </w:p>
    <w:p w:rsidR="00A30716" w:rsidRPr="00AF290D"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AF290D">
        <w:rPr>
          <w:rFonts w:ascii="Times New Roman" w:eastAsia="Times New Roman" w:hAnsi="Times New Roman" w:cs="Times New Roman"/>
          <w:sz w:val="24"/>
          <w:szCs w:val="24"/>
          <w:lang w:eastAsia="ru-RU"/>
        </w:rPr>
        <w:t>-за счет средств федерального бюджета – 1043348,1 тыс. рублей;</w:t>
      </w:r>
    </w:p>
    <w:p w:rsidR="00A30716" w:rsidRPr="00AF290D"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AF290D">
        <w:rPr>
          <w:rFonts w:ascii="Times New Roman" w:eastAsia="Times New Roman" w:hAnsi="Times New Roman" w:cs="Times New Roman"/>
          <w:sz w:val="24"/>
          <w:szCs w:val="24"/>
          <w:lang w:eastAsia="ru-RU"/>
        </w:rPr>
        <w:t>-за счет средств областного бюджета – 771019,2 тыс. рублей.</w:t>
      </w:r>
    </w:p>
    <w:p w:rsidR="00A30716" w:rsidRPr="00AF290D"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AF290D">
        <w:rPr>
          <w:rFonts w:ascii="Times New Roman" w:eastAsia="Times New Roman" w:hAnsi="Times New Roman" w:cs="Times New Roman"/>
          <w:sz w:val="24"/>
          <w:szCs w:val="24"/>
          <w:lang w:eastAsia="ru-RU"/>
        </w:rPr>
        <w:t xml:space="preserve">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на </w:t>
      </w:r>
      <w:r w:rsidRPr="00AF290D">
        <w:rPr>
          <w:rFonts w:ascii="Times New Roman" w:eastAsia="Times New Roman" w:hAnsi="Times New Roman" w:cs="Times New Roman"/>
          <w:sz w:val="24"/>
          <w:szCs w:val="24"/>
          <w:lang w:eastAsia="ru-RU"/>
        </w:rPr>
        <w:br/>
        <w:t>2014-2020 годы» включает тринадцать подпрограмм, девять из которых предусматривают софинансирование за счет средств федерального бюджета.</w:t>
      </w:r>
    </w:p>
    <w:p w:rsidR="00A30716" w:rsidRPr="00027F56"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027F56">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027F56">
        <w:rPr>
          <w:rFonts w:ascii="Times New Roman" w:eastAsia="Times New Roman" w:hAnsi="Times New Roman" w:cs="Times New Roman"/>
          <w:sz w:val="24"/>
          <w:szCs w:val="24"/>
          <w:lang w:eastAsia="ru-RU"/>
        </w:rPr>
        <w:t xml:space="preserve"> Амурской области «Об областном бюджете на 2017 год и плановый период 2018 и 2019 годов»</w:t>
      </w:r>
      <w:r>
        <w:rPr>
          <w:rFonts w:ascii="Times New Roman" w:eastAsia="Times New Roman" w:hAnsi="Times New Roman" w:cs="Times New Roman"/>
          <w:sz w:val="24"/>
          <w:szCs w:val="24"/>
          <w:lang w:eastAsia="ru-RU"/>
        </w:rPr>
        <w:t xml:space="preserve"> </w:t>
      </w:r>
      <w:r w:rsidRPr="00027F56">
        <w:rPr>
          <w:rFonts w:ascii="Times New Roman" w:eastAsia="Times New Roman" w:hAnsi="Times New Roman" w:cs="Times New Roman"/>
          <w:sz w:val="24"/>
          <w:szCs w:val="24"/>
          <w:lang w:eastAsia="ru-RU"/>
        </w:rPr>
        <w:t>(ред. от 2</w:t>
      </w:r>
      <w:r>
        <w:rPr>
          <w:rFonts w:ascii="Times New Roman" w:eastAsia="Times New Roman" w:hAnsi="Times New Roman" w:cs="Times New Roman"/>
          <w:sz w:val="24"/>
          <w:szCs w:val="24"/>
          <w:lang w:eastAsia="ru-RU"/>
        </w:rPr>
        <w:t>1</w:t>
      </w:r>
      <w:r w:rsidRPr="00027F56">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 №161-ОЗ</w:t>
      </w:r>
      <w:r w:rsidRPr="00027F56">
        <w:rPr>
          <w:rFonts w:ascii="Times New Roman" w:eastAsia="Times New Roman" w:hAnsi="Times New Roman" w:cs="Times New Roman"/>
          <w:sz w:val="24"/>
          <w:szCs w:val="24"/>
          <w:lang w:eastAsia="ru-RU"/>
        </w:rPr>
        <w:t xml:space="preserve">) утверждены ассигнования на реализацию тринадцати подпрограмм, входящих в состав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на общую сумму </w:t>
      </w:r>
      <w:r>
        <w:rPr>
          <w:rFonts w:ascii="Times New Roman" w:eastAsia="Times New Roman" w:hAnsi="Times New Roman" w:cs="Times New Roman"/>
          <w:sz w:val="24"/>
          <w:szCs w:val="24"/>
          <w:lang w:eastAsia="ru-RU"/>
        </w:rPr>
        <w:br/>
      </w:r>
      <w:r w:rsidRPr="00027F5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167552,2</w:t>
      </w:r>
      <w:r w:rsidRPr="00027F56">
        <w:rPr>
          <w:rFonts w:ascii="Times New Roman" w:eastAsia="Times New Roman" w:hAnsi="Times New Roman" w:cs="Times New Roman"/>
          <w:sz w:val="24"/>
          <w:szCs w:val="24"/>
          <w:lang w:eastAsia="ru-RU"/>
        </w:rPr>
        <w:t xml:space="preserve"> тыс. рублей.</w:t>
      </w:r>
    </w:p>
    <w:p w:rsidR="00A30716" w:rsidRPr="00D76990"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D76990">
        <w:rPr>
          <w:rFonts w:ascii="Times New Roman" w:eastAsia="Times New Roman" w:hAnsi="Times New Roman" w:cs="Times New Roman"/>
          <w:sz w:val="24"/>
          <w:szCs w:val="24"/>
          <w:lang w:eastAsia="ru-RU"/>
        </w:rPr>
        <w:t>Сводной бюджетной росписью н</w:t>
      </w:r>
      <w:r w:rsidRPr="00D76990">
        <w:rPr>
          <w:rFonts w:ascii="Times New Roman" w:eastAsia="Calibri" w:hAnsi="Times New Roman" w:cs="Times New Roman"/>
          <w:sz w:val="24"/>
          <w:szCs w:val="24"/>
        </w:rPr>
        <w:t>а реализацию</w:t>
      </w:r>
      <w:r w:rsidRPr="00D76990">
        <w:rPr>
          <w:rFonts w:ascii="Times New Roman" w:eastAsia="Times New Roman" w:hAnsi="Times New Roman" w:cs="Times New Roman"/>
          <w:sz w:val="24"/>
          <w:szCs w:val="24"/>
          <w:lang w:eastAsia="ru-RU"/>
        </w:rPr>
        <w:t xml:space="preserve">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предусмотрены ассигнования в сумме 1814367,5 тыс. рублей. Исполнение бюджетных назначений составило </w:t>
      </w:r>
      <w:r>
        <w:rPr>
          <w:rFonts w:ascii="Times New Roman" w:eastAsia="Times New Roman" w:hAnsi="Times New Roman" w:cs="Times New Roman"/>
          <w:sz w:val="24"/>
          <w:szCs w:val="24"/>
          <w:lang w:eastAsia="ru-RU"/>
        </w:rPr>
        <w:br/>
      </w:r>
      <w:r w:rsidRPr="00D76990">
        <w:rPr>
          <w:rFonts w:ascii="Times New Roman" w:eastAsia="Times New Roman" w:hAnsi="Times New Roman" w:cs="Times New Roman"/>
          <w:sz w:val="24"/>
          <w:szCs w:val="24"/>
          <w:lang w:eastAsia="ru-RU"/>
        </w:rPr>
        <w:t>1797126,4 тыс. рублей, или 99 процент</w:t>
      </w:r>
      <w:r>
        <w:rPr>
          <w:rFonts w:ascii="Times New Roman" w:eastAsia="Times New Roman" w:hAnsi="Times New Roman" w:cs="Times New Roman"/>
          <w:sz w:val="24"/>
          <w:szCs w:val="24"/>
          <w:lang w:eastAsia="ru-RU"/>
        </w:rPr>
        <w:t>ов</w:t>
      </w:r>
      <w:r w:rsidRPr="00D76990">
        <w:rPr>
          <w:rFonts w:ascii="Times New Roman" w:eastAsia="Times New Roman" w:hAnsi="Times New Roman" w:cs="Times New Roman"/>
          <w:sz w:val="24"/>
          <w:szCs w:val="24"/>
          <w:lang w:eastAsia="ru-RU"/>
        </w:rPr>
        <w:t xml:space="preserve"> предусмотренных бюджетной росписью средств. Неисполненные назначения составили 17241,1 тыс. рублей.</w:t>
      </w:r>
    </w:p>
    <w:p w:rsidR="00A30716" w:rsidRPr="00027F56" w:rsidRDefault="00A30716" w:rsidP="00AA6522">
      <w:pPr>
        <w:widowControl w:val="0"/>
        <w:autoSpaceDE w:val="0"/>
        <w:autoSpaceDN w:val="0"/>
        <w:adjustRightInd w:val="0"/>
        <w:spacing w:after="0" w:line="283" w:lineRule="auto"/>
        <w:ind w:firstLine="709"/>
        <w:jc w:val="both"/>
        <w:rPr>
          <w:rFonts w:ascii="Times New Roman" w:eastAsia="Times New Roman" w:hAnsi="Times New Roman" w:cs="Times New Roman"/>
          <w:sz w:val="24"/>
          <w:szCs w:val="24"/>
          <w:lang w:eastAsia="ru-RU"/>
        </w:rPr>
      </w:pPr>
      <w:r w:rsidRPr="00027F56">
        <w:rPr>
          <w:rFonts w:ascii="Times New Roman" w:eastAsia="Times New Roman" w:hAnsi="Times New Roman" w:cs="Times New Roman"/>
          <w:sz w:val="24"/>
          <w:szCs w:val="24"/>
          <w:lang w:eastAsia="ru-RU"/>
        </w:rPr>
        <w:t>Координатором государственной программы является министерство сельского хозяйства Амурской области.</w:t>
      </w:r>
    </w:p>
    <w:p w:rsidR="00A30716" w:rsidRPr="00027F56" w:rsidRDefault="00A30716" w:rsidP="00AA6522">
      <w:pPr>
        <w:autoSpaceDE w:val="0"/>
        <w:autoSpaceDN w:val="0"/>
        <w:adjustRightInd w:val="0"/>
        <w:spacing w:after="0" w:line="283" w:lineRule="auto"/>
        <w:ind w:firstLine="709"/>
        <w:jc w:val="both"/>
        <w:rPr>
          <w:rFonts w:ascii="Times New Roman" w:eastAsia="Calibri" w:hAnsi="Times New Roman" w:cs="Times New Roman"/>
          <w:sz w:val="24"/>
          <w:szCs w:val="24"/>
        </w:rPr>
      </w:pPr>
      <w:r w:rsidRPr="00027F56">
        <w:rPr>
          <w:rFonts w:ascii="Times New Roman" w:eastAsia="Calibri" w:hAnsi="Times New Roman" w:cs="Times New Roman"/>
          <w:sz w:val="24"/>
          <w:szCs w:val="24"/>
        </w:rPr>
        <w:t>Координаторами подпрограмм являются министерство сельского хозяйства Амурской области</w:t>
      </w:r>
      <w:r w:rsidRPr="00027F56">
        <w:rPr>
          <w:rFonts w:ascii="Times New Roman" w:eastAsia="Calibri" w:hAnsi="Times New Roman" w:cs="Times New Roman"/>
          <w:bCs/>
          <w:iCs/>
          <w:sz w:val="24"/>
          <w:szCs w:val="24"/>
        </w:rPr>
        <w:t xml:space="preserve"> и у</w:t>
      </w:r>
      <w:r w:rsidRPr="00027F56">
        <w:rPr>
          <w:rFonts w:ascii="Times New Roman" w:eastAsia="Calibri" w:hAnsi="Times New Roman" w:cs="Times New Roman"/>
          <w:sz w:val="24"/>
          <w:szCs w:val="24"/>
        </w:rPr>
        <w:t>правление ветеринарии и племенного животноводства Амурской области.</w:t>
      </w:r>
    </w:p>
    <w:p w:rsidR="00A30716" w:rsidRPr="00027F56" w:rsidRDefault="00A30716" w:rsidP="00AA6522">
      <w:pPr>
        <w:autoSpaceDE w:val="0"/>
        <w:autoSpaceDN w:val="0"/>
        <w:adjustRightInd w:val="0"/>
        <w:spacing w:after="0" w:line="283" w:lineRule="auto"/>
        <w:ind w:firstLine="709"/>
        <w:jc w:val="both"/>
        <w:rPr>
          <w:rFonts w:ascii="Times New Roman" w:eastAsia="Calibri" w:hAnsi="Times New Roman" w:cs="Times New Roman"/>
          <w:sz w:val="24"/>
          <w:szCs w:val="24"/>
        </w:rPr>
      </w:pPr>
      <w:r w:rsidRPr="00027F56">
        <w:rPr>
          <w:rFonts w:ascii="Times New Roman" w:eastAsia="Calibri" w:hAnsi="Times New Roman" w:cs="Times New Roman"/>
          <w:sz w:val="24"/>
          <w:szCs w:val="24"/>
        </w:rPr>
        <w:t>Участниками государственной программы являются министерство сельского хозяйства Амурской области, министерство транспорта и строительства Амурской области, министерство имущественных отношений Амурской области, управление ветеринарии и племенного животноводства Амурской области.</w:t>
      </w:r>
    </w:p>
    <w:p w:rsidR="00A30716" w:rsidRPr="00A30716" w:rsidRDefault="00A30716" w:rsidP="00AA6522">
      <w:pPr>
        <w:spacing w:after="0" w:line="283" w:lineRule="auto"/>
        <w:ind w:firstLine="709"/>
        <w:jc w:val="both"/>
        <w:rPr>
          <w:rFonts w:ascii="Times New Roman" w:eastAsia="Times New Roman" w:hAnsi="Times New Roman" w:cs="Times New Roman"/>
          <w:sz w:val="24"/>
          <w:szCs w:val="24"/>
          <w:lang w:eastAsia="ru-RU"/>
        </w:rPr>
      </w:pPr>
      <w:r w:rsidRPr="00D76990">
        <w:rPr>
          <w:rFonts w:ascii="Times New Roman" w:eastAsia="Calibri" w:hAnsi="Times New Roman" w:cs="Times New Roman"/>
          <w:sz w:val="24"/>
          <w:szCs w:val="24"/>
        </w:rPr>
        <w:t>Согласно приложению № 1</w:t>
      </w:r>
      <w:r>
        <w:rPr>
          <w:rFonts w:ascii="Times New Roman" w:eastAsia="Calibri" w:hAnsi="Times New Roman" w:cs="Times New Roman"/>
          <w:sz w:val="24"/>
          <w:szCs w:val="24"/>
        </w:rPr>
        <w:t>«</w:t>
      </w:r>
      <w:r w:rsidRPr="004B750D">
        <w:rPr>
          <w:rFonts w:ascii="Times New Roman" w:eastAsia="Calibri" w:hAnsi="Times New Roman" w:cs="Times New Roman"/>
          <w:sz w:val="24"/>
          <w:szCs w:val="24"/>
        </w:rPr>
        <w:t>Информация о финансировании государственных программ Амурской области за январь-декабрь 2017 года (по состоянию на 01.01.2018)</w:t>
      </w:r>
      <w:r>
        <w:rPr>
          <w:rFonts w:ascii="Times New Roman" w:eastAsia="Calibri" w:hAnsi="Times New Roman" w:cs="Times New Roman"/>
          <w:sz w:val="24"/>
          <w:szCs w:val="24"/>
        </w:rPr>
        <w:t xml:space="preserve">» </w:t>
      </w:r>
      <w:r w:rsidRPr="00D76990">
        <w:rPr>
          <w:rFonts w:ascii="Times New Roman" w:eastAsia="Calibri" w:hAnsi="Times New Roman" w:cs="Times New Roman"/>
          <w:sz w:val="24"/>
          <w:szCs w:val="24"/>
        </w:rPr>
        <w:t>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r w:rsidR="008649C0">
        <w:rPr>
          <w:rFonts w:ascii="Times New Roman" w:eastAsia="Calibri" w:hAnsi="Times New Roman" w:cs="Times New Roman"/>
          <w:sz w:val="24"/>
          <w:szCs w:val="24"/>
        </w:rPr>
        <w:t xml:space="preserve"> </w:t>
      </w:r>
      <w:r w:rsidRPr="00D76990">
        <w:rPr>
          <w:rFonts w:ascii="Times New Roman" w:eastAsia="Times New Roman" w:hAnsi="Times New Roman" w:cs="Times New Roman"/>
          <w:sz w:val="24"/>
          <w:szCs w:val="24"/>
          <w:lang w:eastAsia="ru-RU"/>
        </w:rPr>
        <w:t xml:space="preserve">В таблице </w:t>
      </w:r>
      <w:r w:rsidRPr="00A30716">
        <w:rPr>
          <w:rFonts w:ascii="Times New Roman" w:eastAsia="Times New Roman" w:hAnsi="Times New Roman" w:cs="Times New Roman"/>
          <w:sz w:val="24"/>
          <w:szCs w:val="24"/>
          <w:lang w:eastAsia="ru-RU"/>
        </w:rPr>
        <w:t>4 представлена информация об исполнении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 разрезе подпрограмм.</w:t>
      </w:r>
    </w:p>
    <w:p w:rsidR="00A30716" w:rsidRPr="00A30716" w:rsidRDefault="00A30716" w:rsidP="00A3071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30716">
        <w:rPr>
          <w:rFonts w:ascii="Times New Roman" w:eastAsia="Times New Roman" w:hAnsi="Times New Roman" w:cs="Times New Roman"/>
          <w:sz w:val="24"/>
          <w:szCs w:val="24"/>
          <w:lang w:eastAsia="ru-RU"/>
        </w:rPr>
        <w:lastRenderedPageBreak/>
        <w:t>Таблица 4</w:t>
      </w:r>
    </w:p>
    <w:p w:rsidR="00A30716" w:rsidRPr="00E47A69" w:rsidRDefault="00A30716" w:rsidP="00A3071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47A69">
        <w:rPr>
          <w:rFonts w:ascii="Times New Roman" w:eastAsia="Times New Roman" w:hAnsi="Times New Roman" w:cs="Times New Roman"/>
          <w:b/>
          <w:sz w:val="24"/>
          <w:szCs w:val="24"/>
          <w:lang w:eastAsia="ru-RU"/>
        </w:rPr>
        <w:t>Анализ исполнения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2014-2020 годы» в разрезе подпрограмм</w:t>
      </w:r>
    </w:p>
    <w:p w:rsidR="00A30716" w:rsidRPr="00E47A69" w:rsidRDefault="00A30716" w:rsidP="00A307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47A69">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15"/>
        <w:gridCol w:w="1531"/>
        <w:gridCol w:w="1505"/>
        <w:gridCol w:w="1425"/>
      </w:tblGrid>
      <w:tr w:rsidR="00A30716" w:rsidRPr="00E47A69" w:rsidTr="00A30716">
        <w:trPr>
          <w:trHeight w:val="687"/>
          <w:tblHeader/>
        </w:trPr>
        <w:tc>
          <w:tcPr>
            <w:tcW w:w="4077" w:type="dxa"/>
            <w:shd w:val="clear" w:color="auto" w:fill="auto"/>
          </w:tcPr>
          <w:p w:rsidR="00A30716" w:rsidRPr="00AA6522" w:rsidRDefault="00A30716" w:rsidP="00A3071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Наименование государственной программы/подпрограммы</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План</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Исполнение</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Уровень исполнения</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Не исполнены</w:t>
            </w:r>
          </w:p>
        </w:tc>
      </w:tr>
      <w:tr w:rsidR="00A30716" w:rsidRPr="00E47A69" w:rsidTr="00A30716">
        <w:trPr>
          <w:trHeight w:val="1575"/>
        </w:trPr>
        <w:tc>
          <w:tcPr>
            <w:tcW w:w="4077" w:type="dxa"/>
            <w:shd w:val="clear" w:color="auto" w:fill="auto"/>
            <w:hideMark/>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Государственная программа «</w:t>
            </w:r>
            <w:r w:rsidRPr="00AA6522">
              <w:rPr>
                <w:rFonts w:ascii="Times New Roman" w:eastAsia="Times New Roman" w:hAnsi="Times New Roman" w:cs="Times New Roman"/>
                <w:b/>
                <w:lang w:eastAsia="ru-RU"/>
              </w:rPr>
              <w:t>Развитие сельского хозяйства и регулирование рынков сельскохозяйственной продукции, сырья и продовольствия Амурской области на 2014-2020 годы</w:t>
            </w:r>
            <w:r w:rsidRPr="00AA6522">
              <w:rPr>
                <w:rFonts w:ascii="Times New Roman" w:eastAsia="Times New Roman" w:hAnsi="Times New Roman" w:cs="Times New Roman"/>
                <w:b/>
                <w:bCs/>
                <w:lang w:eastAsia="ru-RU"/>
              </w:rPr>
              <w:t xml:space="preserve">», </w:t>
            </w:r>
            <w:r w:rsidRPr="00AA6522">
              <w:rPr>
                <w:rFonts w:ascii="Times New Roman" w:eastAsia="Times New Roman" w:hAnsi="Times New Roman" w:cs="Times New Roman"/>
                <w:bCs/>
                <w:lang w:eastAsia="ru-RU"/>
              </w:rPr>
              <w:t>в том числе:</w:t>
            </w:r>
          </w:p>
        </w:tc>
        <w:tc>
          <w:tcPr>
            <w:tcW w:w="131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1814367,5</w:t>
            </w:r>
          </w:p>
        </w:tc>
        <w:tc>
          <w:tcPr>
            <w:tcW w:w="1531"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1797126,4</w:t>
            </w:r>
          </w:p>
        </w:tc>
        <w:tc>
          <w:tcPr>
            <w:tcW w:w="150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99,0</w:t>
            </w:r>
          </w:p>
        </w:tc>
        <w:tc>
          <w:tcPr>
            <w:tcW w:w="142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AA6522">
              <w:rPr>
                <w:rFonts w:ascii="Times New Roman" w:eastAsia="Times New Roman" w:hAnsi="Times New Roman" w:cs="Times New Roman"/>
                <w:b/>
                <w:bCs/>
                <w:lang w:eastAsia="ru-RU"/>
              </w:rPr>
              <w:t>-17241,1</w:t>
            </w:r>
          </w:p>
        </w:tc>
      </w:tr>
      <w:tr w:rsidR="00A30716" w:rsidRPr="00E47A69" w:rsidTr="00A30716">
        <w:trPr>
          <w:trHeight w:val="1078"/>
        </w:trPr>
        <w:tc>
          <w:tcPr>
            <w:tcW w:w="4077" w:type="dxa"/>
            <w:shd w:val="clear" w:color="auto" w:fill="auto"/>
            <w:hideMark/>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«Развитие подотрасли растениеводства, переработки и реализации продукции растениеводства»</w:t>
            </w:r>
          </w:p>
        </w:tc>
        <w:tc>
          <w:tcPr>
            <w:tcW w:w="131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559733,2</w:t>
            </w:r>
          </w:p>
        </w:tc>
        <w:tc>
          <w:tcPr>
            <w:tcW w:w="1531"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547938,3</w:t>
            </w:r>
          </w:p>
        </w:tc>
        <w:tc>
          <w:tcPr>
            <w:tcW w:w="150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97,9</w:t>
            </w:r>
          </w:p>
        </w:tc>
        <w:tc>
          <w:tcPr>
            <w:tcW w:w="142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-11794,9</w:t>
            </w:r>
          </w:p>
        </w:tc>
      </w:tr>
      <w:tr w:rsidR="00A30716" w:rsidRPr="00EB2FBD" w:rsidTr="00AA6522">
        <w:trPr>
          <w:trHeight w:val="573"/>
        </w:trPr>
        <w:tc>
          <w:tcPr>
            <w:tcW w:w="4077" w:type="dxa"/>
            <w:shd w:val="clear" w:color="auto" w:fill="auto"/>
            <w:hideMark/>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«Развитие мелиорации сельскохозяйственных земель области»</w:t>
            </w:r>
          </w:p>
        </w:tc>
        <w:tc>
          <w:tcPr>
            <w:tcW w:w="131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25907,1</w:t>
            </w:r>
          </w:p>
        </w:tc>
        <w:tc>
          <w:tcPr>
            <w:tcW w:w="1531"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25907,10</w:t>
            </w:r>
          </w:p>
        </w:tc>
        <w:tc>
          <w:tcPr>
            <w:tcW w:w="150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0</w:t>
            </w:r>
          </w:p>
        </w:tc>
      </w:tr>
      <w:tr w:rsidR="00A30716" w:rsidRPr="00EB2FBD" w:rsidTr="00AA6522">
        <w:trPr>
          <w:trHeight w:val="695"/>
        </w:trPr>
        <w:tc>
          <w:tcPr>
            <w:tcW w:w="4077" w:type="dxa"/>
            <w:shd w:val="clear" w:color="auto" w:fill="auto"/>
            <w:hideMark/>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«Развитие подотрасли животноводства, переработки и реализации продукции животноводства»</w:t>
            </w:r>
          </w:p>
        </w:tc>
        <w:tc>
          <w:tcPr>
            <w:tcW w:w="131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157494,6</w:t>
            </w:r>
          </w:p>
        </w:tc>
        <w:tc>
          <w:tcPr>
            <w:tcW w:w="1531"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157354,7</w:t>
            </w:r>
          </w:p>
        </w:tc>
        <w:tc>
          <w:tcPr>
            <w:tcW w:w="150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99,9</w:t>
            </w:r>
          </w:p>
        </w:tc>
        <w:tc>
          <w:tcPr>
            <w:tcW w:w="142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-139,9</w:t>
            </w:r>
          </w:p>
        </w:tc>
      </w:tr>
      <w:tr w:rsidR="00A30716" w:rsidRPr="00EB2FBD" w:rsidTr="00AA6522">
        <w:trPr>
          <w:trHeight w:val="492"/>
        </w:trPr>
        <w:tc>
          <w:tcPr>
            <w:tcW w:w="4077" w:type="dxa"/>
            <w:shd w:val="clear" w:color="auto" w:fill="auto"/>
            <w:hideMark/>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«Развитие мясного скотоводства»</w:t>
            </w:r>
          </w:p>
        </w:tc>
        <w:tc>
          <w:tcPr>
            <w:tcW w:w="131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508,8</w:t>
            </w:r>
          </w:p>
        </w:tc>
        <w:tc>
          <w:tcPr>
            <w:tcW w:w="1531"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508,8</w:t>
            </w:r>
          </w:p>
        </w:tc>
        <w:tc>
          <w:tcPr>
            <w:tcW w:w="150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hideMark/>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0</w:t>
            </w:r>
          </w:p>
        </w:tc>
      </w:tr>
      <w:tr w:rsidR="00A30716" w:rsidRPr="00EB2FBD" w:rsidTr="00A30716">
        <w:trPr>
          <w:trHeight w:val="539"/>
        </w:trPr>
        <w:tc>
          <w:tcPr>
            <w:tcW w:w="4077" w:type="dxa"/>
            <w:shd w:val="clear" w:color="auto" w:fill="auto"/>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«Обеспечение эпизоотического и ветеринарно-санитарного благополучия на территории области»</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153535,6</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152203,8</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99,1</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-1331,8</w:t>
            </w:r>
          </w:p>
        </w:tc>
      </w:tr>
      <w:tr w:rsidR="00A30716" w:rsidRPr="00A30716" w:rsidTr="00A30716">
        <w:trPr>
          <w:trHeight w:val="539"/>
        </w:trPr>
        <w:tc>
          <w:tcPr>
            <w:tcW w:w="4077" w:type="dxa"/>
            <w:shd w:val="clear" w:color="auto" w:fill="auto"/>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«Поддержка малых форм хозяйствования»</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115637,0</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115187,1</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99,6</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-449,9</w:t>
            </w:r>
          </w:p>
        </w:tc>
      </w:tr>
      <w:tr w:rsidR="00A30716" w:rsidRPr="00A30716" w:rsidTr="00A30716">
        <w:trPr>
          <w:trHeight w:val="850"/>
        </w:trPr>
        <w:tc>
          <w:tcPr>
            <w:tcW w:w="4077" w:type="dxa"/>
            <w:shd w:val="clear" w:color="auto" w:fill="auto"/>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«Техническая и технологическая модернизация, инновационное развитие»</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87738,6</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87738,6</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0</w:t>
            </w:r>
          </w:p>
        </w:tc>
      </w:tr>
      <w:tr w:rsidR="00A30716" w:rsidRPr="00A30716" w:rsidTr="00A30716">
        <w:trPr>
          <w:trHeight w:val="551"/>
        </w:trPr>
        <w:tc>
          <w:tcPr>
            <w:tcW w:w="4077" w:type="dxa"/>
            <w:shd w:val="clear" w:color="auto" w:fill="auto"/>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«Устойчивое развитие сельских территорий»</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166107,2</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163719,1</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98,6</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-2388,1</w:t>
            </w:r>
          </w:p>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0716" w:rsidRPr="00A30716" w:rsidTr="00A30716">
        <w:trPr>
          <w:trHeight w:val="1260"/>
        </w:trPr>
        <w:tc>
          <w:tcPr>
            <w:tcW w:w="4077" w:type="dxa"/>
            <w:shd w:val="clear" w:color="auto" w:fill="auto"/>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66709,1</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65627,5</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98,4</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-1081,6</w:t>
            </w:r>
          </w:p>
        </w:tc>
      </w:tr>
      <w:tr w:rsidR="00A30716" w:rsidRPr="00A30716" w:rsidTr="00A30716">
        <w:trPr>
          <w:trHeight w:val="569"/>
        </w:trPr>
        <w:tc>
          <w:tcPr>
            <w:tcW w:w="4077" w:type="dxa"/>
            <w:shd w:val="clear" w:color="auto" w:fill="auto"/>
          </w:tcPr>
          <w:p w:rsidR="00A30716" w:rsidRPr="00AA6522" w:rsidRDefault="00A30716" w:rsidP="00A30716">
            <w:pPr>
              <w:spacing w:after="0" w:line="240" w:lineRule="auto"/>
              <w:rPr>
                <w:rFonts w:ascii="Times New Roman" w:eastAsia="Times New Roman" w:hAnsi="Times New Roman" w:cs="Times New Roman"/>
                <w:lang w:eastAsia="ru-RU"/>
              </w:rPr>
            </w:pPr>
            <w:r w:rsidRPr="00AA6522">
              <w:rPr>
                <w:rFonts w:ascii="Times New Roman" w:hAnsi="Times New Roman" w:cs="Times New Roman"/>
              </w:rPr>
              <w:t>Подпрограмма «Развитие овощеводства открытого и защищенного грунта и семенного картофелеводства»</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137407,9</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137407,9</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0</w:t>
            </w:r>
          </w:p>
        </w:tc>
      </w:tr>
      <w:tr w:rsidR="00A30716" w:rsidRPr="00A30716" w:rsidTr="00A30716">
        <w:trPr>
          <w:trHeight w:val="645"/>
        </w:trPr>
        <w:tc>
          <w:tcPr>
            <w:tcW w:w="4077" w:type="dxa"/>
            <w:shd w:val="clear" w:color="auto" w:fill="auto"/>
          </w:tcPr>
          <w:p w:rsidR="00A30716" w:rsidRPr="00AA6522" w:rsidRDefault="00A30716" w:rsidP="00A30716">
            <w:pPr>
              <w:spacing w:after="0" w:line="240" w:lineRule="auto"/>
              <w:rPr>
                <w:rFonts w:ascii="Times New Roman" w:hAnsi="Times New Roman" w:cs="Times New Roman"/>
              </w:rPr>
            </w:pPr>
            <w:r w:rsidRPr="00AA6522">
              <w:rPr>
                <w:rFonts w:ascii="Times New Roman" w:hAnsi="Times New Roman" w:cs="Times New Roman"/>
              </w:rPr>
              <w:t>Подпрограмма «Развитие молочного скотоводства»</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139798,6</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139773,5</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-25,1</w:t>
            </w:r>
          </w:p>
        </w:tc>
      </w:tr>
      <w:tr w:rsidR="00A30716" w:rsidRPr="00A30716" w:rsidTr="00A30716">
        <w:trPr>
          <w:trHeight w:val="840"/>
        </w:trPr>
        <w:tc>
          <w:tcPr>
            <w:tcW w:w="4077" w:type="dxa"/>
            <w:shd w:val="clear" w:color="auto" w:fill="auto"/>
          </w:tcPr>
          <w:p w:rsidR="00A30716" w:rsidRPr="00AA6522" w:rsidRDefault="00A30716" w:rsidP="00A30716">
            <w:pPr>
              <w:spacing w:after="0" w:line="240" w:lineRule="auto"/>
              <w:rPr>
                <w:rFonts w:ascii="Times New Roman" w:hAnsi="Times New Roman" w:cs="Times New Roman"/>
              </w:rPr>
            </w:pPr>
            <w:r w:rsidRPr="00AA6522">
              <w:rPr>
                <w:rFonts w:ascii="Times New Roman" w:hAnsi="Times New Roman" w:cs="Times New Roman"/>
                <w:bCs/>
              </w:rPr>
              <w:t>Подпрограмма «Поддержка племенного дела, селекции и семеноводства»</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147661,4</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147631,6</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-29,8</w:t>
            </w:r>
          </w:p>
        </w:tc>
      </w:tr>
      <w:tr w:rsidR="00A30716" w:rsidRPr="00A30716" w:rsidTr="00A30716">
        <w:trPr>
          <w:trHeight w:val="1121"/>
        </w:trPr>
        <w:tc>
          <w:tcPr>
            <w:tcW w:w="4077" w:type="dxa"/>
            <w:shd w:val="clear" w:color="auto" w:fill="auto"/>
          </w:tcPr>
          <w:p w:rsidR="00A30716" w:rsidRPr="00AA6522" w:rsidRDefault="00A30716" w:rsidP="00A30716">
            <w:pPr>
              <w:spacing w:after="0" w:line="240" w:lineRule="auto"/>
              <w:rPr>
                <w:rFonts w:ascii="Times New Roman" w:hAnsi="Times New Roman" w:cs="Times New Roman"/>
              </w:rPr>
            </w:pPr>
            <w:r w:rsidRPr="00AA6522">
              <w:rPr>
                <w:rFonts w:ascii="Times New Roman" w:hAnsi="Times New Roman" w:cs="Times New Roman"/>
                <w:bCs/>
              </w:rPr>
              <w:t>Подпрограмма «Развитие оптово-распределительных центров и инфраструктуры системы социального питания»</w:t>
            </w:r>
          </w:p>
        </w:tc>
        <w:tc>
          <w:tcPr>
            <w:tcW w:w="131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56128,4</w:t>
            </w:r>
          </w:p>
        </w:tc>
        <w:tc>
          <w:tcPr>
            <w:tcW w:w="1531"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56128,4</w:t>
            </w:r>
          </w:p>
        </w:tc>
        <w:tc>
          <w:tcPr>
            <w:tcW w:w="150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100,0</w:t>
            </w:r>
          </w:p>
        </w:tc>
        <w:tc>
          <w:tcPr>
            <w:tcW w:w="1425" w:type="dxa"/>
            <w:shd w:val="clear" w:color="auto" w:fill="auto"/>
            <w:noWrap/>
          </w:tcPr>
          <w:p w:rsidR="00A30716" w:rsidRPr="00AA6522" w:rsidRDefault="00A30716" w:rsidP="00A30716">
            <w:pPr>
              <w:widowControl w:val="0"/>
              <w:autoSpaceDE w:val="0"/>
              <w:autoSpaceDN w:val="0"/>
              <w:adjustRightInd w:val="0"/>
              <w:spacing w:after="0" w:line="240" w:lineRule="auto"/>
              <w:rPr>
                <w:rFonts w:ascii="Times New Roman" w:eastAsia="Times New Roman" w:hAnsi="Times New Roman" w:cs="Times New Roman"/>
                <w:lang w:eastAsia="ru-RU"/>
              </w:rPr>
            </w:pPr>
            <w:r w:rsidRPr="00AA6522">
              <w:rPr>
                <w:rFonts w:ascii="Times New Roman" w:eastAsia="Times New Roman" w:hAnsi="Times New Roman" w:cs="Times New Roman"/>
                <w:lang w:eastAsia="ru-RU"/>
              </w:rPr>
              <w:t>0</w:t>
            </w:r>
          </w:p>
        </w:tc>
      </w:tr>
    </w:tbl>
    <w:p w:rsidR="00A30716" w:rsidRDefault="00A30716" w:rsidP="00A30716">
      <w:pPr>
        <w:widowControl w:val="0"/>
        <w:autoSpaceDE w:val="0"/>
        <w:autoSpaceDN w:val="0"/>
        <w:adjustRightInd w:val="0"/>
        <w:spacing w:after="0" w:line="240" w:lineRule="auto"/>
        <w:ind w:left="709"/>
        <w:contextualSpacing/>
        <w:rPr>
          <w:rFonts w:ascii="Times New Roman" w:eastAsia="Times New Roman" w:hAnsi="Times New Roman" w:cs="Times New Roman"/>
          <w:i/>
          <w:sz w:val="24"/>
          <w:szCs w:val="24"/>
          <w:lang w:eastAsia="ru-RU"/>
        </w:rPr>
      </w:pPr>
    </w:p>
    <w:p w:rsidR="00A30716" w:rsidRPr="00A81BE0" w:rsidRDefault="00A30716" w:rsidP="00A30716">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A30716">
        <w:rPr>
          <w:rFonts w:ascii="Times New Roman" w:eastAsia="Times New Roman" w:hAnsi="Times New Roman" w:cs="Times New Roman"/>
          <w:i/>
          <w:sz w:val="24"/>
          <w:szCs w:val="24"/>
          <w:lang w:eastAsia="ru-RU"/>
        </w:rPr>
        <w:lastRenderedPageBreak/>
        <w:t>Подпрограмма</w:t>
      </w:r>
      <w:r w:rsidRPr="00A81BE0">
        <w:rPr>
          <w:rFonts w:ascii="Times New Roman" w:eastAsia="Times New Roman" w:hAnsi="Times New Roman" w:cs="Times New Roman"/>
          <w:i/>
          <w:sz w:val="24"/>
          <w:szCs w:val="24"/>
          <w:lang w:eastAsia="ru-RU"/>
        </w:rPr>
        <w:t xml:space="preserve"> «Развитие подотрасли растениеводства, переработки и реализации продукции растениеводства»</w:t>
      </w:r>
    </w:p>
    <w:p w:rsidR="00A30716" w:rsidRPr="00A81BE0" w:rsidRDefault="00A30716" w:rsidP="00A30716">
      <w:pPr>
        <w:spacing w:after="0" w:line="240" w:lineRule="auto"/>
        <w:ind w:firstLine="709"/>
        <w:jc w:val="both"/>
        <w:rPr>
          <w:rFonts w:ascii="Times New Roman" w:eastAsia="Calibri" w:hAnsi="Times New Roman" w:cs="Times New Roman"/>
          <w:sz w:val="24"/>
          <w:szCs w:val="24"/>
        </w:rPr>
      </w:pPr>
      <w:r w:rsidRPr="00A81BE0">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559733,2 тыс. рублей. Исполнение составило 547938,3 тыс. рублей.</w:t>
      </w:r>
    </w:p>
    <w:p w:rsidR="00A30716" w:rsidRPr="00A81BE0" w:rsidRDefault="00A30716" w:rsidP="00A30716">
      <w:pPr>
        <w:spacing w:after="0" w:line="240" w:lineRule="auto"/>
        <w:ind w:firstLine="709"/>
        <w:jc w:val="both"/>
        <w:rPr>
          <w:rFonts w:ascii="Times New Roman" w:eastAsia="Calibri" w:hAnsi="Times New Roman" w:cs="Times New Roman"/>
          <w:sz w:val="24"/>
          <w:szCs w:val="24"/>
        </w:rPr>
      </w:pPr>
      <w:r w:rsidRPr="00A81BE0">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97,9 процента.</w:t>
      </w:r>
      <w:r>
        <w:rPr>
          <w:rFonts w:ascii="Times New Roman" w:eastAsia="Calibri" w:hAnsi="Times New Roman" w:cs="Times New Roman"/>
          <w:sz w:val="24"/>
          <w:szCs w:val="24"/>
        </w:rPr>
        <w:t xml:space="preserve"> Неполное освоение бюджетных ассигнований допущено по мероприятию </w:t>
      </w:r>
      <w:r w:rsidRPr="00E423D1">
        <w:rPr>
          <w:rFonts w:ascii="Times New Roman" w:hAnsi="Times New Roman" w:cs="Times New Roman"/>
          <w:sz w:val="24"/>
          <w:szCs w:val="24"/>
        </w:rPr>
        <w:t>«Возмещение части процентной ставки по инвестиционным кредитам (займам) в агропромышленном комплексе (в части возмещения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r>
        <w:rPr>
          <w:rFonts w:ascii="Times New Roman" w:hAnsi="Times New Roman" w:cs="Times New Roman"/>
          <w:sz w:val="24"/>
          <w:szCs w:val="24"/>
        </w:rPr>
        <w:t xml:space="preserve"> и составило </w:t>
      </w:r>
      <w:r w:rsidRPr="00E423D1">
        <w:rPr>
          <w:rFonts w:ascii="Times New Roman" w:hAnsi="Times New Roman" w:cs="Times New Roman"/>
          <w:sz w:val="24"/>
          <w:szCs w:val="24"/>
        </w:rPr>
        <w:t>96,9 процента к уточненной росписи.</w:t>
      </w:r>
    </w:p>
    <w:p w:rsidR="00A30716" w:rsidRPr="00A81BE0" w:rsidRDefault="00A30716" w:rsidP="00A30716">
      <w:pPr>
        <w:spacing w:after="0" w:line="240" w:lineRule="auto"/>
        <w:ind w:firstLine="709"/>
        <w:jc w:val="both"/>
        <w:rPr>
          <w:rFonts w:ascii="Times New Roman" w:eastAsia="Calibri" w:hAnsi="Times New Roman" w:cs="Times New Roman"/>
          <w:sz w:val="24"/>
          <w:szCs w:val="24"/>
        </w:rPr>
      </w:pPr>
      <w:r w:rsidRPr="00A81BE0">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30,9 процента.</w:t>
      </w:r>
    </w:p>
    <w:p w:rsidR="00A30716" w:rsidRPr="00580290"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580290">
        <w:rPr>
          <w:rFonts w:ascii="Times New Roman" w:eastAsia="Times New Roman" w:hAnsi="Times New Roman" w:cs="Times New Roman"/>
          <w:i/>
          <w:sz w:val="24"/>
          <w:szCs w:val="24"/>
          <w:lang w:eastAsia="ru-RU"/>
        </w:rPr>
        <w:t>Подпрограмма «Развитие мелиорации сельскохозяйственных земель области»</w:t>
      </w:r>
    </w:p>
    <w:p w:rsidR="00A30716" w:rsidRPr="00580290" w:rsidRDefault="00A30716" w:rsidP="00A30716">
      <w:pPr>
        <w:spacing w:after="0" w:line="240" w:lineRule="auto"/>
        <w:ind w:firstLine="709"/>
        <w:jc w:val="both"/>
        <w:rPr>
          <w:rFonts w:ascii="Times New Roman" w:eastAsia="Calibri" w:hAnsi="Times New Roman" w:cs="Times New Roman"/>
          <w:sz w:val="24"/>
          <w:szCs w:val="24"/>
        </w:rPr>
      </w:pPr>
      <w:r w:rsidRPr="00580290">
        <w:rPr>
          <w:rFonts w:ascii="Times New Roman" w:eastAsia="Times New Roman" w:hAnsi="Times New Roman" w:cs="Times New Roman"/>
          <w:sz w:val="24"/>
          <w:szCs w:val="24"/>
          <w:lang w:eastAsia="ru-RU"/>
        </w:rPr>
        <w:t>Сводной бюджетной росписью н</w:t>
      </w:r>
      <w:r w:rsidRPr="00580290">
        <w:rPr>
          <w:rFonts w:ascii="Times New Roman" w:eastAsia="Calibri" w:hAnsi="Times New Roman" w:cs="Times New Roman"/>
          <w:sz w:val="24"/>
          <w:szCs w:val="24"/>
        </w:rPr>
        <w:t xml:space="preserve">а реализацию подпрограммы утверждены ассигнования в сумме 25907,1 тыс. рублей. Исполнение составило 25907,1 тыс. рублей, или 100 процентов средств, предусмотренных по основному мероприятию «Государственная </w:t>
      </w:r>
      <w:r w:rsidRPr="00580290">
        <w:rPr>
          <w:rFonts w:ascii="Times New Roman" w:hAnsi="Times New Roman" w:cs="Times New Roman"/>
          <w:sz w:val="24"/>
          <w:szCs w:val="24"/>
        </w:rPr>
        <w:t>поддержка мелиорации сельскохозяйственных земель</w:t>
      </w:r>
      <w:r w:rsidRPr="00580290">
        <w:rPr>
          <w:rFonts w:ascii="Times New Roman" w:eastAsia="Calibri" w:hAnsi="Times New Roman" w:cs="Times New Roman"/>
          <w:sz w:val="24"/>
          <w:szCs w:val="24"/>
        </w:rPr>
        <w:t>» в части возмещения части затрат по проведению культуртехнических мероприятий, в рамках реализации федеральной целевой программы «Развитие мелиорации земель сельскохозяйственного назначения России на 2014-2020 годы».</w:t>
      </w:r>
    </w:p>
    <w:p w:rsidR="00A30716" w:rsidRPr="00580290" w:rsidRDefault="00A30716" w:rsidP="00A30716">
      <w:pPr>
        <w:spacing w:after="0" w:line="240" w:lineRule="auto"/>
        <w:ind w:firstLine="709"/>
        <w:jc w:val="both"/>
        <w:rPr>
          <w:rFonts w:ascii="Times New Roman" w:eastAsia="Calibri" w:hAnsi="Times New Roman" w:cs="Times New Roman"/>
          <w:sz w:val="24"/>
          <w:szCs w:val="24"/>
        </w:rPr>
      </w:pPr>
      <w:r w:rsidRPr="00580290">
        <w:rPr>
          <w:rFonts w:ascii="Times New Roman" w:eastAsia="Calibri" w:hAnsi="Times New Roman" w:cs="Times New Roman"/>
          <w:sz w:val="24"/>
          <w:szCs w:val="24"/>
        </w:rPr>
        <w:t>В общем объеме расходов государственной программы доля расходов по подпрограмме составляет 1,4 процента.</w:t>
      </w:r>
    </w:p>
    <w:p w:rsidR="00A30716" w:rsidRPr="00C63737"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C63737">
        <w:rPr>
          <w:rFonts w:ascii="Times New Roman" w:eastAsia="Times New Roman" w:hAnsi="Times New Roman" w:cs="Times New Roman"/>
          <w:i/>
          <w:sz w:val="24"/>
          <w:szCs w:val="24"/>
          <w:lang w:eastAsia="ru-RU"/>
        </w:rPr>
        <w:t xml:space="preserve">Подпрограмма </w:t>
      </w:r>
      <w:r w:rsidRPr="00C63737">
        <w:rPr>
          <w:rFonts w:ascii="Times New Roman" w:eastAsia="Times New Roman" w:hAnsi="Times New Roman" w:cs="Times New Roman"/>
          <w:sz w:val="24"/>
          <w:szCs w:val="24"/>
          <w:lang w:eastAsia="ru-RU"/>
        </w:rPr>
        <w:t>«</w:t>
      </w:r>
      <w:r w:rsidRPr="00C63737">
        <w:rPr>
          <w:rFonts w:ascii="Times New Roman" w:eastAsia="Times New Roman" w:hAnsi="Times New Roman" w:cs="Times New Roman"/>
          <w:i/>
          <w:sz w:val="24"/>
          <w:szCs w:val="24"/>
          <w:lang w:eastAsia="ru-RU"/>
        </w:rPr>
        <w:t>Развитие подотрасли животноводства, переработки и реализации продукции животноводства»</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в сумме 157494,6 тыс. рублей. Исполнение составило 157354,7 тыс. рублей, или 99,9 процента средств, предусмотренных по основному мероприятию «Государственная </w:t>
      </w:r>
      <w:r w:rsidRPr="00C63737">
        <w:rPr>
          <w:rFonts w:ascii="Times New Roman" w:hAnsi="Times New Roman" w:cs="Times New Roman"/>
          <w:sz w:val="24"/>
          <w:szCs w:val="24"/>
        </w:rPr>
        <w:t>поддержка подотрасли животноводства, переработки ее продукции, развития инфраструктуры рынков продукции животноводства»</w:t>
      </w:r>
      <w:r w:rsidRPr="00C63737">
        <w:rPr>
          <w:rFonts w:ascii="Times New Roman" w:eastAsia="Calibri" w:hAnsi="Times New Roman" w:cs="Times New Roman"/>
          <w:sz w:val="24"/>
          <w:szCs w:val="24"/>
        </w:rPr>
        <w:t>.</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8,7 процента.</w:t>
      </w:r>
    </w:p>
    <w:p w:rsidR="00A30716" w:rsidRPr="00C63737"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C63737">
        <w:rPr>
          <w:rFonts w:ascii="Times New Roman" w:eastAsia="Times New Roman" w:hAnsi="Times New Roman" w:cs="Times New Roman"/>
          <w:i/>
          <w:sz w:val="24"/>
          <w:szCs w:val="24"/>
          <w:lang w:eastAsia="ru-RU"/>
        </w:rPr>
        <w:t xml:space="preserve">Подпрограмма </w:t>
      </w:r>
      <w:r w:rsidRPr="00C63737">
        <w:rPr>
          <w:rFonts w:ascii="Times New Roman" w:eastAsia="Times New Roman" w:hAnsi="Times New Roman" w:cs="Times New Roman"/>
          <w:sz w:val="24"/>
          <w:szCs w:val="24"/>
          <w:lang w:eastAsia="ru-RU"/>
        </w:rPr>
        <w:t>«</w:t>
      </w:r>
      <w:r w:rsidRPr="00C63737">
        <w:rPr>
          <w:rFonts w:ascii="Times New Roman" w:eastAsia="Times New Roman" w:hAnsi="Times New Roman" w:cs="Times New Roman"/>
          <w:i/>
          <w:sz w:val="24"/>
          <w:szCs w:val="24"/>
          <w:lang w:eastAsia="ru-RU"/>
        </w:rPr>
        <w:t>Развитие мясного скотоводства»</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508,8 тыс. рублей. Исполнение составило 508,8 тыс. рублей</w:t>
      </w:r>
      <w:r>
        <w:rPr>
          <w:rFonts w:ascii="Times New Roman" w:eastAsia="Calibri" w:hAnsi="Times New Roman" w:cs="Times New Roman"/>
          <w:sz w:val="24"/>
          <w:szCs w:val="24"/>
        </w:rPr>
        <w:t>,</w:t>
      </w:r>
      <w:r w:rsidRPr="00C63737">
        <w:rPr>
          <w:rFonts w:ascii="Times New Roman" w:eastAsia="Calibri" w:hAnsi="Times New Roman" w:cs="Times New Roman"/>
          <w:sz w:val="24"/>
          <w:szCs w:val="24"/>
        </w:rPr>
        <w:t xml:space="preserve"> или 100 процентов средств, предусмотренных по основному мероприятию «Государственная </w:t>
      </w:r>
      <w:r w:rsidRPr="00C63737">
        <w:rPr>
          <w:rFonts w:ascii="Times New Roman" w:hAnsi="Times New Roman" w:cs="Times New Roman"/>
          <w:sz w:val="24"/>
          <w:szCs w:val="24"/>
        </w:rPr>
        <w:t>поддержка подотрасли мясного скотоводства»</w:t>
      </w:r>
      <w:r w:rsidRPr="00C63737">
        <w:rPr>
          <w:rFonts w:ascii="Times New Roman" w:eastAsia="Calibri" w:hAnsi="Times New Roman" w:cs="Times New Roman"/>
          <w:sz w:val="24"/>
          <w:szCs w:val="24"/>
        </w:rPr>
        <w:t>.</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менее 1 процента.</w:t>
      </w:r>
    </w:p>
    <w:p w:rsidR="00A30716" w:rsidRPr="00C63737"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C63737">
        <w:rPr>
          <w:rFonts w:ascii="Times New Roman" w:eastAsia="Times New Roman" w:hAnsi="Times New Roman" w:cs="Times New Roman"/>
          <w:i/>
          <w:sz w:val="24"/>
          <w:szCs w:val="24"/>
          <w:lang w:eastAsia="ru-RU"/>
        </w:rPr>
        <w:t xml:space="preserve">Подпрограмма </w:t>
      </w:r>
      <w:r w:rsidRPr="00C63737">
        <w:rPr>
          <w:rFonts w:ascii="Times New Roman" w:eastAsia="Times New Roman" w:hAnsi="Times New Roman" w:cs="Times New Roman"/>
          <w:sz w:val="24"/>
          <w:szCs w:val="24"/>
          <w:lang w:eastAsia="ru-RU"/>
        </w:rPr>
        <w:t>«</w:t>
      </w:r>
      <w:r w:rsidRPr="00C63737">
        <w:rPr>
          <w:rFonts w:ascii="Times New Roman" w:eastAsia="Times New Roman" w:hAnsi="Times New Roman" w:cs="Times New Roman"/>
          <w:i/>
          <w:sz w:val="24"/>
          <w:szCs w:val="24"/>
          <w:lang w:eastAsia="ru-RU"/>
        </w:rPr>
        <w:t>Обеспечение эпизоотического и ветеринарно-санитарного благополучия на территории области»</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153535,6 тыс. рублей. Исполнение составило 152203,8 тыс. рублей.</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99,1 процента.</w:t>
      </w:r>
    </w:p>
    <w:p w:rsidR="00A30716" w:rsidRPr="00C63737" w:rsidRDefault="00A30716" w:rsidP="00A30716">
      <w:pPr>
        <w:spacing w:after="0" w:line="240" w:lineRule="auto"/>
        <w:ind w:firstLine="709"/>
        <w:jc w:val="both"/>
        <w:rPr>
          <w:rFonts w:ascii="Times New Roman" w:eastAsia="Calibri" w:hAnsi="Times New Roman" w:cs="Times New Roman"/>
          <w:sz w:val="24"/>
          <w:szCs w:val="24"/>
        </w:rPr>
      </w:pPr>
      <w:r w:rsidRPr="00C63737">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8,5 процента.</w:t>
      </w:r>
    </w:p>
    <w:p w:rsidR="00A30716" w:rsidRPr="00842344" w:rsidRDefault="00A30716" w:rsidP="00A30716">
      <w:pPr>
        <w:spacing w:after="0" w:line="240" w:lineRule="auto"/>
        <w:ind w:firstLine="709"/>
        <w:jc w:val="both"/>
        <w:rPr>
          <w:rFonts w:ascii="Times New Roman" w:hAnsi="Times New Roman" w:cs="Times New Roman"/>
          <w:sz w:val="24"/>
          <w:szCs w:val="24"/>
        </w:rPr>
      </w:pPr>
      <w:r w:rsidRPr="00842344">
        <w:rPr>
          <w:rFonts w:ascii="Times New Roman" w:eastAsia="Calibri" w:hAnsi="Times New Roman" w:cs="Times New Roman"/>
          <w:sz w:val="24"/>
          <w:szCs w:val="24"/>
        </w:rPr>
        <w:t>Исполнение ассигнований по основному мероприятию «</w:t>
      </w:r>
      <w:r w:rsidRPr="00842344">
        <w:rPr>
          <w:rFonts w:ascii="Times New Roman" w:hAnsi="Times New Roman" w:cs="Times New Roman"/>
          <w:sz w:val="24"/>
          <w:szCs w:val="24"/>
        </w:rPr>
        <w:t>Обеспечение функций исполнительных органов государственной власти</w:t>
      </w:r>
      <w:r w:rsidRPr="00842344">
        <w:rPr>
          <w:rFonts w:ascii="Times New Roman" w:eastAsia="Calibri" w:hAnsi="Times New Roman" w:cs="Times New Roman"/>
          <w:sz w:val="24"/>
          <w:szCs w:val="24"/>
        </w:rPr>
        <w:t>» составило 21962,6 тыс. рублей, что составляет 99,4 процента к уточненной росписи и по основному мероприятию «</w:t>
      </w:r>
      <w:r w:rsidRPr="00842344">
        <w:rPr>
          <w:rFonts w:ascii="Times New Roman" w:hAnsi="Times New Roman" w:cs="Times New Roman"/>
          <w:sz w:val="24"/>
          <w:szCs w:val="24"/>
        </w:rPr>
        <w:t>Государственная поддержка обеспечения эпизоотического и ветеринарно-санитарного благополучия на территории области» составило 1</w:t>
      </w:r>
      <w:r>
        <w:rPr>
          <w:rFonts w:ascii="Times New Roman" w:hAnsi="Times New Roman" w:cs="Times New Roman"/>
          <w:sz w:val="24"/>
          <w:szCs w:val="24"/>
        </w:rPr>
        <w:t>30241,2</w:t>
      </w:r>
      <w:r w:rsidRPr="00842344">
        <w:rPr>
          <w:rFonts w:ascii="Times New Roman" w:hAnsi="Times New Roman" w:cs="Times New Roman"/>
          <w:sz w:val="24"/>
          <w:szCs w:val="24"/>
        </w:rPr>
        <w:t xml:space="preserve"> тыс. рублей, что составляет 9</w:t>
      </w:r>
      <w:r>
        <w:rPr>
          <w:rFonts w:ascii="Times New Roman" w:hAnsi="Times New Roman" w:cs="Times New Roman"/>
          <w:sz w:val="24"/>
          <w:szCs w:val="24"/>
        </w:rPr>
        <w:t>9</w:t>
      </w:r>
      <w:r w:rsidRPr="00842344">
        <w:rPr>
          <w:rFonts w:ascii="Times New Roman" w:hAnsi="Times New Roman" w:cs="Times New Roman"/>
          <w:sz w:val="24"/>
          <w:szCs w:val="24"/>
        </w:rPr>
        <w:t>,</w:t>
      </w:r>
      <w:r>
        <w:rPr>
          <w:rFonts w:ascii="Times New Roman" w:hAnsi="Times New Roman" w:cs="Times New Roman"/>
          <w:sz w:val="24"/>
          <w:szCs w:val="24"/>
        </w:rPr>
        <w:t>1</w:t>
      </w:r>
      <w:r w:rsidRPr="00842344">
        <w:rPr>
          <w:rFonts w:ascii="Times New Roman" w:hAnsi="Times New Roman" w:cs="Times New Roman"/>
          <w:sz w:val="24"/>
          <w:szCs w:val="24"/>
        </w:rPr>
        <w:t xml:space="preserve"> процента к уточненной росписи.</w:t>
      </w:r>
    </w:p>
    <w:p w:rsidR="00A30716" w:rsidRPr="00842344"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842344">
        <w:rPr>
          <w:rFonts w:ascii="Times New Roman" w:eastAsia="Times New Roman" w:hAnsi="Times New Roman" w:cs="Times New Roman"/>
          <w:i/>
          <w:sz w:val="24"/>
          <w:szCs w:val="24"/>
          <w:lang w:eastAsia="ru-RU"/>
        </w:rPr>
        <w:lastRenderedPageBreak/>
        <w:t xml:space="preserve">Подпрограмма </w:t>
      </w:r>
      <w:r w:rsidRPr="00842344">
        <w:rPr>
          <w:rFonts w:ascii="Times New Roman" w:eastAsia="Times New Roman" w:hAnsi="Times New Roman" w:cs="Times New Roman"/>
          <w:sz w:val="24"/>
          <w:szCs w:val="24"/>
          <w:lang w:eastAsia="ru-RU"/>
        </w:rPr>
        <w:t>«</w:t>
      </w:r>
      <w:r w:rsidRPr="00842344">
        <w:rPr>
          <w:rFonts w:ascii="Times New Roman" w:eastAsia="Times New Roman" w:hAnsi="Times New Roman" w:cs="Times New Roman"/>
          <w:i/>
          <w:sz w:val="24"/>
          <w:szCs w:val="24"/>
          <w:lang w:eastAsia="ru-RU"/>
        </w:rPr>
        <w:t>Поддержка малых форм хозяйствования»</w:t>
      </w:r>
    </w:p>
    <w:p w:rsidR="00A30716" w:rsidRPr="00842344" w:rsidRDefault="00A30716" w:rsidP="00A30716">
      <w:pPr>
        <w:spacing w:after="0" w:line="240" w:lineRule="auto"/>
        <w:ind w:firstLine="709"/>
        <w:jc w:val="both"/>
        <w:rPr>
          <w:rFonts w:ascii="Times New Roman" w:eastAsia="Calibri" w:hAnsi="Times New Roman" w:cs="Times New Roman"/>
          <w:sz w:val="24"/>
          <w:szCs w:val="24"/>
        </w:rPr>
      </w:pPr>
      <w:r w:rsidRPr="00842344">
        <w:rPr>
          <w:rFonts w:ascii="Times New Roman" w:eastAsia="Times New Roman" w:hAnsi="Times New Roman" w:cs="Times New Roman"/>
          <w:sz w:val="24"/>
          <w:szCs w:val="24"/>
          <w:lang w:eastAsia="ru-RU"/>
        </w:rPr>
        <w:t>Сводной бюджетной росписью н</w:t>
      </w:r>
      <w:r w:rsidRPr="00842344">
        <w:rPr>
          <w:rFonts w:ascii="Times New Roman" w:eastAsia="Calibri" w:hAnsi="Times New Roman" w:cs="Times New Roman"/>
          <w:sz w:val="24"/>
          <w:szCs w:val="24"/>
        </w:rPr>
        <w:t>а реализацию подпрограммы утверждены ассигнования в сумме 115637,0 тыс. рублей. Исполнение по основному мероприятию «</w:t>
      </w:r>
      <w:r w:rsidRPr="00842344">
        <w:rPr>
          <w:rFonts w:ascii="Times New Roman" w:hAnsi="Times New Roman" w:cs="Times New Roman"/>
          <w:sz w:val="24"/>
          <w:szCs w:val="24"/>
        </w:rPr>
        <w:t>Государственная поддержка развития малых форм хозяйствования</w:t>
      </w:r>
      <w:r w:rsidRPr="00842344">
        <w:rPr>
          <w:rFonts w:ascii="Times New Roman" w:eastAsia="Calibri" w:hAnsi="Times New Roman" w:cs="Times New Roman"/>
          <w:sz w:val="24"/>
          <w:szCs w:val="24"/>
        </w:rPr>
        <w:t xml:space="preserve">» составило </w:t>
      </w:r>
      <w:r>
        <w:rPr>
          <w:rFonts w:ascii="Times New Roman" w:eastAsia="Calibri" w:hAnsi="Times New Roman" w:cs="Times New Roman"/>
          <w:sz w:val="24"/>
          <w:szCs w:val="24"/>
        </w:rPr>
        <w:br/>
      </w:r>
      <w:r w:rsidRPr="00842344">
        <w:rPr>
          <w:rFonts w:ascii="Times New Roman" w:eastAsia="Calibri" w:hAnsi="Times New Roman" w:cs="Times New Roman"/>
          <w:sz w:val="24"/>
          <w:szCs w:val="24"/>
        </w:rPr>
        <w:t xml:space="preserve">115187,1 тыс. рублей, или 99,6 процента к уточненной росписи. </w:t>
      </w:r>
    </w:p>
    <w:p w:rsidR="00A30716" w:rsidRPr="00842344" w:rsidRDefault="00A30716" w:rsidP="00A30716">
      <w:pPr>
        <w:spacing w:after="0" w:line="240" w:lineRule="auto"/>
        <w:ind w:firstLine="709"/>
        <w:jc w:val="both"/>
        <w:rPr>
          <w:rFonts w:ascii="Times New Roman" w:eastAsia="Calibri" w:hAnsi="Times New Roman" w:cs="Times New Roman"/>
          <w:sz w:val="24"/>
          <w:szCs w:val="24"/>
        </w:rPr>
      </w:pPr>
      <w:r w:rsidRPr="00842344">
        <w:rPr>
          <w:rFonts w:ascii="Times New Roman" w:eastAsia="Calibri" w:hAnsi="Times New Roman" w:cs="Times New Roman"/>
          <w:sz w:val="24"/>
          <w:szCs w:val="24"/>
        </w:rPr>
        <w:t>В общем объеме расходов государственной программы доля расходов по подпрограмме составляет 6,4 процента.</w:t>
      </w:r>
    </w:p>
    <w:p w:rsidR="00A30716" w:rsidRPr="00232C43"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232C43">
        <w:rPr>
          <w:rFonts w:ascii="Times New Roman" w:eastAsia="Times New Roman" w:hAnsi="Times New Roman" w:cs="Times New Roman"/>
          <w:i/>
          <w:sz w:val="24"/>
          <w:szCs w:val="24"/>
          <w:lang w:eastAsia="ru-RU"/>
        </w:rPr>
        <w:t>Подпрограмма «Техническая и технологическая модернизация, инновационное развитие»</w:t>
      </w:r>
    </w:p>
    <w:p w:rsidR="00A30716" w:rsidRPr="00232C43" w:rsidRDefault="00A30716" w:rsidP="00A30716">
      <w:pPr>
        <w:spacing w:after="0" w:line="240" w:lineRule="auto"/>
        <w:ind w:firstLine="709"/>
        <w:jc w:val="both"/>
        <w:rPr>
          <w:rFonts w:ascii="Times New Roman" w:eastAsia="Calibri" w:hAnsi="Times New Roman" w:cs="Times New Roman"/>
          <w:sz w:val="24"/>
          <w:szCs w:val="24"/>
        </w:rPr>
      </w:pPr>
      <w:r w:rsidRPr="00232C43">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87738,6 тыс. рублей. Исполнение составило 87738,6 тыс. рублей по основному мероприятию «</w:t>
      </w:r>
      <w:r w:rsidRPr="00232C43">
        <w:rPr>
          <w:rFonts w:ascii="Times New Roman" w:hAnsi="Times New Roman" w:cs="Times New Roman"/>
          <w:sz w:val="24"/>
          <w:szCs w:val="24"/>
        </w:rPr>
        <w:t>Государственная поддержка технической и технологической модернизации, инновационного развития»</w:t>
      </w:r>
      <w:r w:rsidRPr="00232C43">
        <w:rPr>
          <w:rFonts w:ascii="Times New Roman" w:eastAsia="Calibri" w:hAnsi="Times New Roman" w:cs="Times New Roman"/>
          <w:sz w:val="24"/>
          <w:szCs w:val="24"/>
        </w:rPr>
        <w:t xml:space="preserve"> или 100 процентов к уточненной росписи.</w:t>
      </w:r>
    </w:p>
    <w:p w:rsidR="00A30716" w:rsidRPr="00232C43" w:rsidRDefault="00A30716" w:rsidP="00A30716">
      <w:pPr>
        <w:spacing w:after="0" w:line="240" w:lineRule="auto"/>
        <w:ind w:firstLine="709"/>
        <w:jc w:val="both"/>
        <w:rPr>
          <w:rFonts w:ascii="Times New Roman" w:eastAsia="Calibri" w:hAnsi="Times New Roman" w:cs="Times New Roman"/>
          <w:sz w:val="24"/>
          <w:szCs w:val="24"/>
        </w:rPr>
      </w:pPr>
      <w:r w:rsidRPr="00232C43">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4,8 процента.</w:t>
      </w:r>
    </w:p>
    <w:p w:rsidR="00A30716" w:rsidRPr="00232C43"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232C43">
        <w:rPr>
          <w:rFonts w:ascii="Times New Roman" w:eastAsia="Times New Roman" w:hAnsi="Times New Roman" w:cs="Times New Roman"/>
          <w:i/>
          <w:sz w:val="24"/>
          <w:szCs w:val="24"/>
          <w:lang w:eastAsia="ru-RU"/>
        </w:rPr>
        <w:t>Подпрограмма «Устойчивое развитие сельских территорий»</w:t>
      </w:r>
    </w:p>
    <w:p w:rsidR="00A30716" w:rsidRPr="00CA164A" w:rsidRDefault="00A30716" w:rsidP="00A30716">
      <w:pPr>
        <w:autoSpaceDE w:val="0"/>
        <w:autoSpaceDN w:val="0"/>
        <w:adjustRightInd w:val="0"/>
        <w:spacing w:after="0" w:line="240" w:lineRule="auto"/>
        <w:jc w:val="both"/>
        <w:rPr>
          <w:rFonts w:ascii="Times New Roman" w:eastAsia="Calibri" w:hAnsi="Times New Roman" w:cs="Times New Roman"/>
          <w:sz w:val="24"/>
          <w:szCs w:val="24"/>
        </w:rPr>
      </w:pPr>
      <w:r w:rsidRPr="008B42DC">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166107,2 тыс. рублей. Исполнение составило 163719,1 тыс. рублей по основному мероприятию «</w:t>
      </w:r>
      <w:r w:rsidRPr="008B42DC">
        <w:rPr>
          <w:rFonts w:ascii="Times New Roman" w:hAnsi="Times New Roman" w:cs="Times New Roman"/>
          <w:sz w:val="24"/>
          <w:szCs w:val="24"/>
        </w:rPr>
        <w:t>Государственная поддержка развития сельских территорий»</w:t>
      </w:r>
      <w:r w:rsidRPr="008B42DC">
        <w:rPr>
          <w:rFonts w:ascii="Times New Roman" w:eastAsia="Calibri" w:hAnsi="Times New Roman" w:cs="Times New Roman"/>
          <w:sz w:val="24"/>
          <w:szCs w:val="24"/>
        </w:rPr>
        <w:t xml:space="preserve"> или 98,6 процента к уточненной росписи</w:t>
      </w:r>
      <w:r w:rsidRPr="00CA164A">
        <w:rPr>
          <w:rFonts w:ascii="Times New Roman" w:eastAsia="Calibri" w:hAnsi="Times New Roman" w:cs="Times New Roman"/>
          <w:sz w:val="24"/>
          <w:szCs w:val="24"/>
        </w:rPr>
        <w:t xml:space="preserve">. </w:t>
      </w:r>
    </w:p>
    <w:p w:rsidR="00A30716" w:rsidRPr="008B42DC" w:rsidRDefault="00A30716" w:rsidP="00A30716">
      <w:pPr>
        <w:spacing w:after="0" w:line="240" w:lineRule="auto"/>
        <w:ind w:firstLine="709"/>
        <w:jc w:val="both"/>
        <w:rPr>
          <w:rFonts w:ascii="Times New Roman" w:eastAsia="Calibri" w:hAnsi="Times New Roman" w:cs="Times New Roman"/>
          <w:sz w:val="24"/>
          <w:szCs w:val="24"/>
        </w:rPr>
      </w:pPr>
      <w:r w:rsidRPr="00CA164A">
        <w:rPr>
          <w:rFonts w:ascii="Times New Roman" w:eastAsia="Calibri" w:hAnsi="Times New Roman" w:cs="Times New Roman"/>
          <w:sz w:val="24"/>
          <w:szCs w:val="24"/>
        </w:rPr>
        <w:t xml:space="preserve">В общем объеме расходов </w:t>
      </w:r>
      <w:r w:rsidRPr="008B42DC">
        <w:rPr>
          <w:rFonts w:ascii="Times New Roman" w:eastAsia="Calibri" w:hAnsi="Times New Roman" w:cs="Times New Roman"/>
          <w:sz w:val="24"/>
          <w:szCs w:val="24"/>
        </w:rPr>
        <w:t>государственной программы доля расходов данной подпрограммы составляет 9,2 процента.</w:t>
      </w:r>
    </w:p>
    <w:p w:rsidR="00A30716" w:rsidRPr="00F34DDF" w:rsidRDefault="00A30716" w:rsidP="00A3071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F34DD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A30716" w:rsidRPr="00F34DDF" w:rsidRDefault="00A30716" w:rsidP="00A30716">
      <w:pPr>
        <w:spacing w:after="0" w:line="240" w:lineRule="auto"/>
        <w:ind w:firstLine="708"/>
        <w:jc w:val="both"/>
        <w:rPr>
          <w:rFonts w:ascii="Times New Roman" w:eastAsia="Calibri" w:hAnsi="Times New Roman" w:cs="Times New Roman"/>
          <w:sz w:val="24"/>
          <w:szCs w:val="24"/>
        </w:rPr>
      </w:pPr>
      <w:r w:rsidRPr="00F34DDF">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66709,1 тыс. рублей. Исполнение составило 65627,5 тыс. рублей, или 98,4 процента к уточненной росписи. В общем объеме расходов государственной программы доля расходов по подпрограмме составляет 3,7 процента.</w:t>
      </w:r>
    </w:p>
    <w:p w:rsidR="00A30716" w:rsidRPr="00F34DDF" w:rsidRDefault="00A30716" w:rsidP="00A307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DDF">
        <w:rPr>
          <w:rFonts w:ascii="Times New Roman" w:eastAsia="Calibri" w:hAnsi="Times New Roman" w:cs="Times New Roman"/>
          <w:sz w:val="24"/>
          <w:szCs w:val="24"/>
        </w:rPr>
        <w:t>Уровень исполнения расходов подпрограммы по основному мероприятию «</w:t>
      </w:r>
      <w:r w:rsidRPr="00F34DDF">
        <w:rPr>
          <w:rFonts w:ascii="Times New Roman" w:hAnsi="Times New Roman" w:cs="Times New Roman"/>
          <w:sz w:val="24"/>
          <w:szCs w:val="24"/>
        </w:rPr>
        <w:t>Обеспечение функций исполнительных органов государственной власти</w:t>
      </w:r>
      <w:r w:rsidRPr="00F34DDF">
        <w:rPr>
          <w:rFonts w:ascii="Times New Roman" w:eastAsia="Calibri" w:hAnsi="Times New Roman" w:cs="Times New Roman"/>
          <w:sz w:val="24"/>
          <w:szCs w:val="24"/>
        </w:rPr>
        <w:t xml:space="preserve">», связанных с обеспечением деятельности и выполнением функций министерства сельского хозяйства области по выработке государственной политики и осуществлению отраслевого управления в сфере агропромышленного комплекса, совершенствованием системы информационного, консультационного и кадрового обеспечения агропромышленного комплекса, составил </w:t>
      </w:r>
      <w:r w:rsidRPr="00F34DDF">
        <w:rPr>
          <w:rFonts w:ascii="Times New Roman" w:eastAsia="Calibri" w:hAnsi="Times New Roman" w:cs="Times New Roman"/>
          <w:sz w:val="24"/>
          <w:szCs w:val="24"/>
        </w:rPr>
        <w:br/>
        <w:t>99,2 процента.</w:t>
      </w:r>
    </w:p>
    <w:p w:rsidR="00A30716" w:rsidRPr="00F34DDF" w:rsidRDefault="00A30716" w:rsidP="00A3071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34DDF">
        <w:rPr>
          <w:rFonts w:ascii="Times New Roman" w:eastAsia="Calibri" w:hAnsi="Times New Roman" w:cs="Times New Roman"/>
          <w:sz w:val="24"/>
          <w:szCs w:val="24"/>
        </w:rPr>
        <w:t>Низкий уровень исполнения (94,4 процента) сложился по основному мероприятию «</w:t>
      </w:r>
      <w:r w:rsidRPr="00F34DDF">
        <w:rPr>
          <w:rFonts w:ascii="Times New Roman" w:hAnsi="Times New Roman" w:cs="Times New Roman"/>
          <w:sz w:val="24"/>
          <w:szCs w:val="24"/>
        </w:rPr>
        <w:t>Финансовое обеспечение расходов общепрограммного характера»</w:t>
      </w:r>
      <w:r>
        <w:rPr>
          <w:rFonts w:ascii="Times New Roman" w:hAnsi="Times New Roman" w:cs="Times New Roman"/>
          <w:sz w:val="24"/>
          <w:szCs w:val="24"/>
        </w:rPr>
        <w:t xml:space="preserve"> в размере </w:t>
      </w:r>
      <w:r>
        <w:rPr>
          <w:rFonts w:ascii="Times New Roman" w:hAnsi="Times New Roman" w:cs="Times New Roman"/>
          <w:sz w:val="24"/>
          <w:szCs w:val="24"/>
        </w:rPr>
        <w:br/>
        <w:t>1 888,0 тыс. рублей</w:t>
      </w:r>
      <w:r w:rsidRPr="00F34DDF">
        <w:rPr>
          <w:rFonts w:ascii="Times New Roman" w:eastAsia="Calibri" w:hAnsi="Times New Roman" w:cs="Times New Roman"/>
          <w:sz w:val="24"/>
          <w:szCs w:val="24"/>
        </w:rPr>
        <w:t>.</w:t>
      </w:r>
    </w:p>
    <w:p w:rsidR="00A30716" w:rsidRPr="00F34DDF" w:rsidRDefault="00A30716" w:rsidP="00A30716">
      <w:pPr>
        <w:autoSpaceDE w:val="0"/>
        <w:autoSpaceDN w:val="0"/>
        <w:adjustRightInd w:val="0"/>
        <w:spacing w:after="0" w:line="240" w:lineRule="auto"/>
        <w:ind w:firstLine="708"/>
        <w:jc w:val="both"/>
        <w:rPr>
          <w:rFonts w:ascii="Times New Roman" w:hAnsi="Times New Roman" w:cs="Times New Roman"/>
          <w:sz w:val="24"/>
          <w:szCs w:val="24"/>
        </w:rPr>
      </w:pPr>
      <w:r w:rsidRPr="00F34DDF">
        <w:rPr>
          <w:rFonts w:ascii="Times New Roman" w:hAnsi="Times New Roman" w:cs="Times New Roman"/>
          <w:sz w:val="24"/>
          <w:szCs w:val="24"/>
        </w:rPr>
        <w:t>Исполнение по основному мероприятию «Оказание мер государственной поддержки молодым специалистам агропромышленного комплекса» составило 9437,0 тыс. рублей, или 94,6 процент</w:t>
      </w:r>
      <w:r>
        <w:rPr>
          <w:rFonts w:ascii="Times New Roman" w:hAnsi="Times New Roman" w:cs="Times New Roman"/>
          <w:sz w:val="24"/>
          <w:szCs w:val="24"/>
        </w:rPr>
        <w:t>а</w:t>
      </w:r>
      <w:r w:rsidRPr="00F34DDF">
        <w:rPr>
          <w:rFonts w:ascii="Times New Roman" w:hAnsi="Times New Roman" w:cs="Times New Roman"/>
          <w:sz w:val="24"/>
          <w:szCs w:val="24"/>
        </w:rPr>
        <w:t xml:space="preserve"> к уточненной росписи.</w:t>
      </w:r>
    </w:p>
    <w:p w:rsidR="00A30716" w:rsidRPr="007B6893" w:rsidRDefault="00A30716" w:rsidP="00A30716">
      <w:pPr>
        <w:pStyle w:val="afa"/>
        <w:numPr>
          <w:ilvl w:val="0"/>
          <w:numId w:val="6"/>
        </w:numPr>
        <w:ind w:left="0" w:firstLine="709"/>
        <w:jc w:val="both"/>
        <w:rPr>
          <w:i/>
          <w:sz w:val="24"/>
          <w:szCs w:val="24"/>
        </w:rPr>
      </w:pPr>
      <w:r w:rsidRPr="007B6893">
        <w:rPr>
          <w:i/>
          <w:sz w:val="24"/>
          <w:szCs w:val="24"/>
        </w:rPr>
        <w:t>Подпрограмма «Развитие овощеводства открытого и защищенного грунта и семенного картофелеводства»</w:t>
      </w:r>
    </w:p>
    <w:p w:rsidR="00A30716" w:rsidRPr="007B6893" w:rsidRDefault="00A30716" w:rsidP="00A30716">
      <w:pPr>
        <w:spacing w:after="0" w:line="240" w:lineRule="auto"/>
        <w:ind w:firstLine="709"/>
        <w:jc w:val="both"/>
        <w:rPr>
          <w:rFonts w:ascii="Times New Roman" w:eastAsia="Calibri" w:hAnsi="Times New Roman" w:cs="Times New Roman"/>
          <w:sz w:val="24"/>
          <w:szCs w:val="24"/>
        </w:rPr>
      </w:pPr>
      <w:r w:rsidRPr="007B6893">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137407,9 тыс. рублей. Исполнение составило 137 407,9 тыс. рублей по основному мероприятию «</w:t>
      </w:r>
      <w:r w:rsidRPr="007B6893">
        <w:rPr>
          <w:rFonts w:ascii="Times New Roman" w:hAnsi="Times New Roman" w:cs="Times New Roman"/>
          <w:sz w:val="24"/>
          <w:szCs w:val="24"/>
        </w:rPr>
        <w:t>Развитие производства овощей защищенного грунта»</w:t>
      </w:r>
      <w:r>
        <w:rPr>
          <w:rFonts w:ascii="Times New Roman" w:hAnsi="Times New Roman" w:cs="Times New Roman"/>
          <w:sz w:val="24"/>
          <w:szCs w:val="24"/>
        </w:rPr>
        <w:t>,</w:t>
      </w:r>
      <w:r w:rsidRPr="007B6893">
        <w:rPr>
          <w:rFonts w:ascii="Times New Roman" w:eastAsia="Calibri" w:hAnsi="Times New Roman" w:cs="Times New Roman"/>
          <w:sz w:val="24"/>
          <w:szCs w:val="24"/>
        </w:rPr>
        <w:t xml:space="preserve"> или 100 процентов к уточненной росписи.</w:t>
      </w:r>
    </w:p>
    <w:p w:rsidR="00A30716" w:rsidRPr="007B6893" w:rsidRDefault="00A30716" w:rsidP="00A30716">
      <w:pPr>
        <w:spacing w:after="0" w:line="240" w:lineRule="auto"/>
        <w:ind w:firstLine="709"/>
        <w:jc w:val="both"/>
        <w:rPr>
          <w:rFonts w:ascii="Times New Roman" w:eastAsia="Calibri" w:hAnsi="Times New Roman" w:cs="Times New Roman"/>
          <w:sz w:val="24"/>
          <w:szCs w:val="24"/>
        </w:rPr>
      </w:pPr>
      <w:r w:rsidRPr="007B6893">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7,6 процента.</w:t>
      </w:r>
    </w:p>
    <w:p w:rsidR="00A30716" w:rsidRPr="00D83084" w:rsidRDefault="00A30716" w:rsidP="00A30716">
      <w:pPr>
        <w:pStyle w:val="afa"/>
        <w:numPr>
          <w:ilvl w:val="0"/>
          <w:numId w:val="6"/>
        </w:numPr>
        <w:ind w:left="0" w:firstLine="851"/>
        <w:jc w:val="both"/>
        <w:rPr>
          <w:i/>
          <w:sz w:val="24"/>
          <w:szCs w:val="24"/>
        </w:rPr>
      </w:pPr>
      <w:r w:rsidRPr="00D83084">
        <w:rPr>
          <w:i/>
          <w:sz w:val="24"/>
          <w:szCs w:val="24"/>
        </w:rPr>
        <w:t>Подпрограмма «Развитие молочного скотоводства»</w:t>
      </w:r>
    </w:p>
    <w:p w:rsidR="00A30716" w:rsidRPr="00D83084" w:rsidRDefault="00A30716" w:rsidP="00A30716">
      <w:pPr>
        <w:spacing w:after="0" w:line="240" w:lineRule="auto"/>
        <w:ind w:firstLine="709"/>
        <w:jc w:val="both"/>
        <w:rPr>
          <w:rFonts w:ascii="Times New Roman" w:eastAsia="Calibri" w:hAnsi="Times New Roman" w:cs="Times New Roman"/>
          <w:sz w:val="24"/>
          <w:szCs w:val="24"/>
        </w:rPr>
      </w:pPr>
      <w:r w:rsidRPr="00D83084">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139798,6 тыс. рублей. Исполнение составило 139773,5 тыс. рублей, или 100 процентов к уточненной росписи, в том числе по основному мероприятию «</w:t>
      </w:r>
      <w:r w:rsidRPr="00D83084">
        <w:rPr>
          <w:rFonts w:ascii="Times New Roman" w:hAnsi="Times New Roman" w:cs="Times New Roman"/>
          <w:sz w:val="24"/>
          <w:szCs w:val="24"/>
        </w:rPr>
        <w:t xml:space="preserve">Развитие </w:t>
      </w:r>
      <w:r w:rsidRPr="00D83084">
        <w:rPr>
          <w:rFonts w:ascii="Times New Roman" w:hAnsi="Times New Roman" w:cs="Times New Roman"/>
          <w:sz w:val="24"/>
          <w:szCs w:val="24"/>
        </w:rPr>
        <w:lastRenderedPageBreak/>
        <w:t>молочного скотоводства» в размере 109590,6 тыс. рублей, что составляет 100 процентов к уточненной росписи</w:t>
      </w:r>
      <w:r w:rsidRPr="00D83084">
        <w:rPr>
          <w:rFonts w:ascii="Times New Roman" w:eastAsia="Calibri" w:hAnsi="Times New Roman" w:cs="Times New Roman"/>
          <w:sz w:val="24"/>
          <w:szCs w:val="24"/>
        </w:rPr>
        <w:t xml:space="preserve"> и по основному мероприятию «</w:t>
      </w:r>
      <w:r w:rsidRPr="00D83084">
        <w:rPr>
          <w:rFonts w:ascii="Times New Roman" w:hAnsi="Times New Roman" w:cs="Times New Roman"/>
          <w:sz w:val="24"/>
          <w:szCs w:val="24"/>
        </w:rPr>
        <w:t>Государственная поддержка кредитования подотрасли молочного скотоводства</w:t>
      </w:r>
      <w:r w:rsidRPr="00D83084">
        <w:rPr>
          <w:rFonts w:ascii="Times New Roman" w:eastAsia="Calibri" w:hAnsi="Times New Roman" w:cs="Times New Roman"/>
          <w:sz w:val="24"/>
          <w:szCs w:val="24"/>
        </w:rPr>
        <w:t>» в размере 30182,9 тыс. рублей, что составляет 99,9 процента к уточненной росписи.</w:t>
      </w:r>
    </w:p>
    <w:p w:rsidR="00A30716" w:rsidRPr="00D83084" w:rsidRDefault="00A30716" w:rsidP="00A30716">
      <w:pPr>
        <w:spacing w:after="0" w:line="240" w:lineRule="auto"/>
        <w:ind w:firstLine="709"/>
        <w:jc w:val="both"/>
        <w:rPr>
          <w:rFonts w:ascii="Times New Roman" w:eastAsia="Calibri" w:hAnsi="Times New Roman" w:cs="Times New Roman"/>
          <w:sz w:val="24"/>
          <w:szCs w:val="24"/>
        </w:rPr>
      </w:pPr>
      <w:r w:rsidRPr="00D83084">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7,7 процента.</w:t>
      </w:r>
    </w:p>
    <w:p w:rsidR="00A30716" w:rsidRPr="00D83084" w:rsidRDefault="00A30716" w:rsidP="00A30716">
      <w:pPr>
        <w:pStyle w:val="afa"/>
        <w:numPr>
          <w:ilvl w:val="0"/>
          <w:numId w:val="6"/>
        </w:numPr>
        <w:ind w:left="0" w:firstLine="851"/>
        <w:jc w:val="both"/>
        <w:rPr>
          <w:i/>
          <w:sz w:val="24"/>
          <w:szCs w:val="24"/>
        </w:rPr>
      </w:pPr>
      <w:r w:rsidRPr="00D83084">
        <w:rPr>
          <w:bCs/>
          <w:i/>
          <w:sz w:val="24"/>
          <w:szCs w:val="24"/>
        </w:rPr>
        <w:t>Подпрограмма «Поддержка племенного дела, селекции и семеноводства»</w:t>
      </w:r>
    </w:p>
    <w:p w:rsidR="00A30716" w:rsidRPr="00D83084" w:rsidRDefault="00A30716" w:rsidP="00A30716">
      <w:pPr>
        <w:spacing w:after="0" w:line="240" w:lineRule="auto"/>
        <w:ind w:firstLine="709"/>
        <w:jc w:val="both"/>
        <w:rPr>
          <w:rFonts w:ascii="Times New Roman" w:eastAsia="Calibri" w:hAnsi="Times New Roman" w:cs="Times New Roman"/>
          <w:sz w:val="24"/>
          <w:szCs w:val="24"/>
        </w:rPr>
      </w:pPr>
      <w:r w:rsidRPr="00D83084">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147661,4 тыс. рублей. Исполнение составило 147631,6 тыс. рублей.</w:t>
      </w:r>
    </w:p>
    <w:p w:rsidR="00A30716" w:rsidRPr="00D83084" w:rsidRDefault="00A30716" w:rsidP="00A30716">
      <w:pPr>
        <w:spacing w:after="0" w:line="240" w:lineRule="auto"/>
        <w:ind w:firstLine="709"/>
        <w:jc w:val="both"/>
        <w:rPr>
          <w:rFonts w:ascii="Times New Roman" w:eastAsia="Calibri" w:hAnsi="Times New Roman" w:cs="Times New Roman"/>
          <w:sz w:val="24"/>
          <w:szCs w:val="24"/>
        </w:rPr>
      </w:pPr>
      <w:r w:rsidRPr="00D83084">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 процентов.</w:t>
      </w:r>
    </w:p>
    <w:p w:rsidR="00A30716" w:rsidRPr="00D83084" w:rsidRDefault="00A30716" w:rsidP="00A30716">
      <w:pPr>
        <w:spacing w:after="0" w:line="240" w:lineRule="auto"/>
        <w:ind w:firstLine="709"/>
        <w:jc w:val="both"/>
        <w:rPr>
          <w:rFonts w:ascii="Times New Roman" w:eastAsia="Calibri" w:hAnsi="Times New Roman" w:cs="Times New Roman"/>
          <w:sz w:val="24"/>
          <w:szCs w:val="24"/>
        </w:rPr>
      </w:pPr>
      <w:r w:rsidRPr="00D83084">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8,1 процента.</w:t>
      </w:r>
    </w:p>
    <w:p w:rsidR="00A30716" w:rsidRPr="00940120" w:rsidRDefault="00A30716" w:rsidP="00A30716">
      <w:pPr>
        <w:spacing w:after="0" w:line="240" w:lineRule="auto"/>
        <w:ind w:firstLine="709"/>
        <w:jc w:val="both"/>
        <w:rPr>
          <w:rFonts w:ascii="Times New Roman" w:eastAsia="Calibri" w:hAnsi="Times New Roman" w:cs="Times New Roman"/>
          <w:sz w:val="24"/>
          <w:szCs w:val="24"/>
        </w:rPr>
      </w:pPr>
      <w:r w:rsidRPr="00940120">
        <w:rPr>
          <w:rFonts w:ascii="Times New Roman" w:eastAsia="Calibri" w:hAnsi="Times New Roman" w:cs="Times New Roman"/>
          <w:sz w:val="24"/>
          <w:szCs w:val="24"/>
        </w:rPr>
        <w:t>Стопроцентное исполнение составило по трем основным мероприятиям: «</w:t>
      </w:r>
      <w:r w:rsidRPr="00940120">
        <w:rPr>
          <w:rFonts w:ascii="Times New Roman" w:hAnsi="Times New Roman" w:cs="Times New Roman"/>
          <w:sz w:val="24"/>
          <w:szCs w:val="24"/>
        </w:rPr>
        <w:t xml:space="preserve">Государственная поддержка племенного животноводства» (90859,7 тыс. рублей), «Развитие элитного семеноводства» (29991,0 тыс. рублей) и </w:t>
      </w:r>
      <w:r w:rsidRPr="00940120">
        <w:rPr>
          <w:rFonts w:ascii="Times New Roman" w:eastAsia="Calibri" w:hAnsi="Times New Roman" w:cs="Times New Roman"/>
          <w:sz w:val="24"/>
          <w:szCs w:val="24"/>
        </w:rPr>
        <w:t>«</w:t>
      </w:r>
      <w:r w:rsidRPr="00940120">
        <w:rPr>
          <w:rFonts w:ascii="Times New Roman" w:hAnsi="Times New Roman" w:cs="Times New Roman"/>
          <w:sz w:val="24"/>
          <w:szCs w:val="24"/>
        </w:rPr>
        <w:t>Государственная поддержка строительства объектов селекционно-генетических и селекционно-семеноводческих центров</w:t>
      </w:r>
      <w:r w:rsidRPr="00940120">
        <w:rPr>
          <w:rFonts w:ascii="Times New Roman" w:eastAsia="Calibri" w:hAnsi="Times New Roman" w:cs="Times New Roman"/>
          <w:sz w:val="24"/>
          <w:szCs w:val="24"/>
        </w:rPr>
        <w:t>» (26780,9 тыс. рублей).</w:t>
      </w:r>
    </w:p>
    <w:p w:rsidR="00A30716" w:rsidRPr="00940120" w:rsidRDefault="00A30716" w:rsidP="00A30716">
      <w:pPr>
        <w:pStyle w:val="afa"/>
        <w:numPr>
          <w:ilvl w:val="0"/>
          <w:numId w:val="6"/>
        </w:numPr>
        <w:ind w:left="0" w:firstLine="851"/>
        <w:jc w:val="both"/>
        <w:rPr>
          <w:i/>
          <w:sz w:val="24"/>
          <w:szCs w:val="24"/>
        </w:rPr>
      </w:pPr>
      <w:r w:rsidRPr="00940120">
        <w:rPr>
          <w:bCs/>
          <w:i/>
          <w:sz w:val="24"/>
          <w:szCs w:val="24"/>
        </w:rPr>
        <w:t>Подпрограмма «Развитие оптово-распределительных центров и инфраструктуры системы социального питания»</w:t>
      </w:r>
    </w:p>
    <w:p w:rsidR="00A30716" w:rsidRPr="00940120" w:rsidRDefault="00A30716" w:rsidP="00A30716">
      <w:pPr>
        <w:spacing w:after="0" w:line="240" w:lineRule="auto"/>
        <w:ind w:firstLine="709"/>
        <w:jc w:val="both"/>
        <w:rPr>
          <w:rFonts w:ascii="Times New Roman" w:eastAsia="Calibri" w:hAnsi="Times New Roman" w:cs="Times New Roman"/>
          <w:sz w:val="24"/>
          <w:szCs w:val="24"/>
        </w:rPr>
      </w:pPr>
      <w:r w:rsidRPr="00940120">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56128,4 тыс. рублей. Исполнение составило 56128,4 тыс. рублей по основному мероприятию «</w:t>
      </w:r>
      <w:r w:rsidRPr="00940120">
        <w:rPr>
          <w:rFonts w:ascii="Times New Roman" w:hAnsi="Times New Roman" w:cs="Times New Roman"/>
          <w:sz w:val="24"/>
          <w:szCs w:val="24"/>
        </w:rPr>
        <w:t>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r w:rsidRPr="00940120">
        <w:rPr>
          <w:rFonts w:ascii="Times New Roman" w:eastAsia="Calibri" w:hAnsi="Times New Roman" w:cs="Times New Roman"/>
          <w:sz w:val="24"/>
          <w:szCs w:val="24"/>
        </w:rPr>
        <w:t xml:space="preserve"> или 100 процентов к уточненной росписи.</w:t>
      </w:r>
    </w:p>
    <w:p w:rsidR="00A30716" w:rsidRPr="00940120" w:rsidRDefault="00A30716" w:rsidP="00A30716">
      <w:pPr>
        <w:spacing w:after="0" w:line="240" w:lineRule="auto"/>
        <w:ind w:firstLine="709"/>
        <w:jc w:val="both"/>
        <w:rPr>
          <w:rFonts w:ascii="Times New Roman" w:eastAsia="Calibri" w:hAnsi="Times New Roman" w:cs="Times New Roman"/>
          <w:sz w:val="24"/>
          <w:szCs w:val="24"/>
        </w:rPr>
      </w:pPr>
      <w:r w:rsidRPr="00940120">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3,1 процента.</w:t>
      </w:r>
    </w:p>
    <w:p w:rsidR="00A30716" w:rsidRPr="003377B8" w:rsidRDefault="00A30716" w:rsidP="00A30716">
      <w:pPr>
        <w:spacing w:after="0" w:line="240" w:lineRule="auto"/>
        <w:ind w:firstLine="709"/>
        <w:jc w:val="both"/>
        <w:rPr>
          <w:rFonts w:ascii="Times New Roman" w:eastAsia="Times New Roman" w:hAnsi="Times New Roman" w:cs="Times New Roman"/>
          <w:sz w:val="24"/>
          <w:szCs w:val="24"/>
          <w:lang w:eastAsia="ru-RU"/>
        </w:rPr>
      </w:pPr>
      <w:r w:rsidRPr="00CB5C54">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2017 году» к с</w:t>
      </w:r>
      <w:r w:rsidRPr="00CB5C54">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2017 году, государственная программа </w:t>
      </w:r>
      <w:r w:rsidRPr="00CB5C54">
        <w:rPr>
          <w:rFonts w:ascii="Times New Roman" w:eastAsia="Times New Roman" w:hAnsi="Times New Roman" w:cs="Times New Roman"/>
          <w:sz w:val="24"/>
          <w:szCs w:val="24"/>
          <w:lang w:eastAsia="ru-RU"/>
        </w:rPr>
        <w:t xml:space="preserve">«Развитие сельского хозяйства и регулирование рынков сельскохозяйственной продукции, сырья и продовольствия Амурской области на 2014-2020 годы» признана эффективной.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w:t>
      </w:r>
      <w:r>
        <w:rPr>
          <w:rFonts w:ascii="Times New Roman" w:eastAsia="Times New Roman" w:hAnsi="Times New Roman" w:cs="Times New Roman"/>
          <w:sz w:val="24"/>
          <w:szCs w:val="24"/>
          <w:lang w:eastAsia="ru-RU"/>
        </w:rPr>
        <w:t xml:space="preserve">В тоже время согласно приложению 2 «Оценка </w:t>
      </w:r>
      <w:r w:rsidRPr="00762E19">
        <w:rPr>
          <w:rFonts w:ascii="Times New Roman" w:eastAsia="Times New Roman" w:hAnsi="Times New Roman" w:cs="Times New Roman"/>
          <w:sz w:val="24"/>
          <w:szCs w:val="24"/>
          <w:lang w:eastAsia="ru-RU"/>
        </w:rPr>
        <w:t>достижения плановых показателей государственных программ Амурской области за январь-декабрь 2017 года (по состоянию на 01.01.2018)</w:t>
      </w:r>
      <w:r>
        <w:rPr>
          <w:rFonts w:ascii="Times New Roman" w:eastAsia="Times New Roman" w:hAnsi="Times New Roman" w:cs="Times New Roman"/>
          <w:sz w:val="24"/>
          <w:szCs w:val="24"/>
          <w:lang w:eastAsia="ru-RU"/>
        </w:rPr>
        <w:t xml:space="preserve">» индекс </w:t>
      </w:r>
      <w:r w:rsidRPr="00762E19">
        <w:rPr>
          <w:rFonts w:ascii="Times New Roman" w:eastAsia="Times New Roman" w:hAnsi="Times New Roman" w:cs="Times New Roman"/>
          <w:sz w:val="24"/>
          <w:szCs w:val="24"/>
          <w:lang w:eastAsia="ru-RU"/>
        </w:rPr>
        <w:t>производства продукции животноводства в хозяйствах всех категорий (в сопоставимых ценах)</w:t>
      </w:r>
      <w:r>
        <w:rPr>
          <w:rFonts w:ascii="Times New Roman" w:eastAsia="Times New Roman" w:hAnsi="Times New Roman" w:cs="Times New Roman"/>
          <w:sz w:val="24"/>
          <w:szCs w:val="24"/>
          <w:lang w:eastAsia="ru-RU"/>
        </w:rPr>
        <w:t xml:space="preserve"> составил 92,6 процента вместо запланированных 101,7 процента. Вследствие </w:t>
      </w:r>
      <w:r w:rsidRPr="00C3756B">
        <w:rPr>
          <w:rFonts w:ascii="Times New Roman" w:eastAsia="Times New Roman" w:hAnsi="Times New Roman" w:cs="Times New Roman"/>
          <w:sz w:val="24"/>
          <w:szCs w:val="24"/>
          <w:lang w:eastAsia="ru-RU"/>
        </w:rPr>
        <w:t xml:space="preserve">снижения инвестиционной активности сельскохозяйственных товаропроизводителей </w:t>
      </w:r>
      <w:r>
        <w:rPr>
          <w:rFonts w:ascii="Times New Roman" w:eastAsia="Times New Roman" w:hAnsi="Times New Roman" w:cs="Times New Roman"/>
          <w:sz w:val="24"/>
          <w:szCs w:val="24"/>
          <w:lang w:eastAsia="ru-RU"/>
        </w:rPr>
        <w:t>и</w:t>
      </w:r>
      <w:r w:rsidRPr="00C3756B">
        <w:rPr>
          <w:rFonts w:ascii="Times New Roman" w:eastAsia="Times New Roman" w:hAnsi="Times New Roman" w:cs="Times New Roman"/>
          <w:sz w:val="24"/>
          <w:szCs w:val="24"/>
          <w:lang w:eastAsia="ru-RU"/>
        </w:rPr>
        <w:t xml:space="preserve">ндекс физического объема инвестиций в основной капитал сельского хозяйства </w:t>
      </w:r>
      <w:r>
        <w:rPr>
          <w:rFonts w:ascii="Times New Roman" w:eastAsia="Times New Roman" w:hAnsi="Times New Roman" w:cs="Times New Roman"/>
          <w:sz w:val="24"/>
          <w:szCs w:val="24"/>
          <w:lang w:eastAsia="ru-RU"/>
        </w:rPr>
        <w:t xml:space="preserve">составил 76,7 процента при плане 108,9 процента. </w:t>
      </w:r>
      <w:r w:rsidR="008649C0">
        <w:rPr>
          <w:rFonts w:ascii="Times New Roman" w:eastAsia="Times New Roman" w:hAnsi="Times New Roman" w:cs="Times New Roman"/>
          <w:sz w:val="24"/>
          <w:szCs w:val="24"/>
          <w:lang w:eastAsia="ru-RU"/>
        </w:rPr>
        <w:t xml:space="preserve">Также не достигнут показатель рентабельности </w:t>
      </w:r>
      <w:r w:rsidR="008649C0" w:rsidRPr="00C3756B">
        <w:rPr>
          <w:rFonts w:ascii="Times New Roman" w:eastAsia="Times New Roman" w:hAnsi="Times New Roman" w:cs="Times New Roman"/>
          <w:sz w:val="24"/>
          <w:szCs w:val="24"/>
          <w:lang w:eastAsia="ru-RU"/>
        </w:rPr>
        <w:t xml:space="preserve">сельскохозяйственных организаций </w:t>
      </w:r>
      <w:r w:rsidR="008649C0">
        <w:rPr>
          <w:rFonts w:ascii="Times New Roman" w:eastAsia="Times New Roman" w:hAnsi="Times New Roman" w:cs="Times New Roman"/>
          <w:sz w:val="24"/>
          <w:szCs w:val="24"/>
          <w:lang w:eastAsia="ru-RU"/>
        </w:rPr>
        <w:t xml:space="preserve">(достижение 9 процентов, при плане  24 процента) и показатель по энергоемкости </w:t>
      </w:r>
      <w:r w:rsidR="008649C0" w:rsidRPr="006D26C7">
        <w:rPr>
          <w:rFonts w:ascii="Times New Roman" w:hAnsi="Times New Roman" w:cs="Times New Roman"/>
          <w:sz w:val="24"/>
          <w:szCs w:val="24"/>
        </w:rPr>
        <w:t>тепличного производства (1</w:t>
      </w:r>
      <w:r w:rsidR="008649C0">
        <w:rPr>
          <w:rFonts w:ascii="Times New Roman" w:hAnsi="Times New Roman" w:cs="Times New Roman"/>
          <w:sz w:val="24"/>
          <w:szCs w:val="24"/>
        </w:rPr>
        <w:t>989</w:t>
      </w:r>
      <w:r w:rsidR="008649C0" w:rsidRPr="006D26C7">
        <w:rPr>
          <w:rFonts w:ascii="Times New Roman" w:hAnsi="Times New Roman" w:cs="Times New Roman"/>
          <w:sz w:val="24"/>
          <w:szCs w:val="24"/>
        </w:rPr>
        <w:t xml:space="preserve"> тонн условного топлива на </w:t>
      </w:r>
      <w:r w:rsidR="008649C0">
        <w:rPr>
          <w:rFonts w:ascii="Times New Roman" w:hAnsi="Times New Roman" w:cs="Times New Roman"/>
          <w:sz w:val="24"/>
          <w:szCs w:val="24"/>
        </w:rPr>
        <w:br/>
      </w:r>
      <w:r w:rsidR="008649C0" w:rsidRPr="006D26C7">
        <w:rPr>
          <w:rFonts w:ascii="Times New Roman" w:hAnsi="Times New Roman" w:cs="Times New Roman"/>
          <w:sz w:val="24"/>
          <w:szCs w:val="24"/>
        </w:rPr>
        <w:t xml:space="preserve">1 гектар вместо запланированных </w:t>
      </w:r>
      <w:r w:rsidR="008649C0">
        <w:rPr>
          <w:rFonts w:ascii="Times New Roman" w:hAnsi="Times New Roman" w:cs="Times New Roman"/>
          <w:sz w:val="24"/>
          <w:szCs w:val="24"/>
        </w:rPr>
        <w:t>1550</w:t>
      </w:r>
      <w:r w:rsidR="008649C0" w:rsidRPr="006D26C7">
        <w:rPr>
          <w:rFonts w:ascii="Times New Roman" w:hAnsi="Times New Roman" w:cs="Times New Roman"/>
          <w:sz w:val="24"/>
          <w:szCs w:val="24"/>
        </w:rPr>
        <w:t xml:space="preserve"> тонн).</w:t>
      </w:r>
      <w:r w:rsidR="008649C0">
        <w:rPr>
          <w:rFonts w:ascii="Times New Roman" w:hAnsi="Times New Roman" w:cs="Times New Roman"/>
          <w:sz w:val="24"/>
          <w:szCs w:val="24"/>
        </w:rPr>
        <w:t xml:space="preserve"> Также не достигнут </w:t>
      </w:r>
      <w:r w:rsidR="008649C0">
        <w:rPr>
          <w:rFonts w:ascii="Times New Roman" w:eastAsia="Times New Roman" w:hAnsi="Times New Roman" w:cs="Times New Roman"/>
          <w:sz w:val="24"/>
          <w:szCs w:val="24"/>
          <w:lang w:eastAsia="ru-RU"/>
        </w:rPr>
        <w:t>показатель по п</w:t>
      </w:r>
      <w:r w:rsidR="008649C0" w:rsidRPr="00C84E3E">
        <w:rPr>
          <w:rFonts w:ascii="Times New Roman" w:eastAsia="Times New Roman" w:hAnsi="Times New Roman" w:cs="Times New Roman"/>
          <w:sz w:val="24"/>
          <w:szCs w:val="24"/>
          <w:lang w:eastAsia="ru-RU"/>
        </w:rPr>
        <w:t>роизводств</w:t>
      </w:r>
      <w:r w:rsidR="008649C0">
        <w:rPr>
          <w:rFonts w:ascii="Times New Roman" w:eastAsia="Times New Roman" w:hAnsi="Times New Roman" w:cs="Times New Roman"/>
          <w:sz w:val="24"/>
          <w:szCs w:val="24"/>
          <w:lang w:eastAsia="ru-RU"/>
        </w:rPr>
        <w:t>у</w:t>
      </w:r>
      <w:r w:rsidR="008649C0" w:rsidRPr="00C84E3E">
        <w:rPr>
          <w:rFonts w:ascii="Times New Roman" w:eastAsia="Times New Roman" w:hAnsi="Times New Roman" w:cs="Times New Roman"/>
          <w:sz w:val="24"/>
          <w:szCs w:val="24"/>
          <w:lang w:eastAsia="ru-RU"/>
        </w:rPr>
        <w:t xml:space="preserve"> скота и птицы на убой в хозяйствах всех категорий (</w:t>
      </w:r>
      <w:r w:rsidR="008649C0">
        <w:rPr>
          <w:rFonts w:ascii="Times New Roman" w:eastAsia="Times New Roman" w:hAnsi="Times New Roman" w:cs="Times New Roman"/>
          <w:sz w:val="24"/>
          <w:szCs w:val="24"/>
          <w:lang w:eastAsia="ru-RU"/>
        </w:rPr>
        <w:t xml:space="preserve">достижение </w:t>
      </w:r>
      <w:r w:rsidR="008649C0">
        <w:rPr>
          <w:rFonts w:ascii="Times New Roman" w:eastAsia="Times New Roman" w:hAnsi="Times New Roman" w:cs="Times New Roman"/>
          <w:sz w:val="24"/>
          <w:szCs w:val="24"/>
          <w:lang w:eastAsia="ru-RU"/>
        </w:rPr>
        <w:br/>
        <w:t xml:space="preserve">55,455 тыс. тонн при плане 59 тыс. тонн), за невыполнение которого, в соответствии с условиями соглашения о предоставлении субсидии от 21.02.2017 № 082-08-062 (доп. согл. от 04.08.2017 № 082-08-062/2) к бюджету области в 2018 году применены денежные взыскания (штрафы) </w:t>
      </w:r>
      <w:r w:rsidR="008649C0" w:rsidRPr="003377B8">
        <w:rPr>
          <w:rFonts w:ascii="Times New Roman" w:eastAsia="Times New Roman" w:hAnsi="Times New Roman" w:cs="Times New Roman"/>
          <w:sz w:val="24"/>
          <w:szCs w:val="24"/>
          <w:lang w:eastAsia="ru-RU"/>
        </w:rPr>
        <w:t xml:space="preserve">(платежное поручение от 18.05.2018 года № 215 </w:t>
      </w:r>
      <w:r w:rsidRPr="003377B8">
        <w:rPr>
          <w:rFonts w:ascii="Times New Roman" w:eastAsia="Times New Roman" w:hAnsi="Times New Roman" w:cs="Times New Roman"/>
          <w:sz w:val="24"/>
          <w:szCs w:val="24"/>
          <w:lang w:eastAsia="ru-RU"/>
        </w:rPr>
        <w:t>на перечисление Министерству сельского хозяйства Российской Федерации 1 720,0 тыс. рублей).</w:t>
      </w:r>
    </w:p>
    <w:p w:rsidR="00A30716" w:rsidRPr="00F27828" w:rsidRDefault="00A30716" w:rsidP="00A30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632E">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F27828">
        <w:rPr>
          <w:rFonts w:ascii="Times New Roman" w:eastAsia="Times New Roman" w:hAnsi="Times New Roman" w:cs="Times New Roman"/>
          <w:sz w:val="24"/>
          <w:szCs w:val="24"/>
          <w:lang w:eastAsia="ru-RU"/>
        </w:rPr>
        <w:t>рисунке 2</w:t>
      </w:r>
      <w:r w:rsidR="00F27828" w:rsidRPr="00F27828">
        <w:rPr>
          <w:rFonts w:ascii="Times New Roman" w:eastAsia="Times New Roman" w:hAnsi="Times New Roman" w:cs="Times New Roman"/>
          <w:sz w:val="24"/>
          <w:szCs w:val="24"/>
          <w:lang w:eastAsia="ru-RU"/>
        </w:rPr>
        <w:t>1</w:t>
      </w:r>
      <w:r w:rsidRPr="00F27828">
        <w:rPr>
          <w:rFonts w:ascii="Times New Roman" w:eastAsia="Times New Roman" w:hAnsi="Times New Roman" w:cs="Times New Roman"/>
          <w:sz w:val="24"/>
          <w:szCs w:val="24"/>
          <w:lang w:eastAsia="ru-RU"/>
        </w:rPr>
        <w:t>.</w:t>
      </w:r>
    </w:p>
    <w:p w:rsidR="00A30716" w:rsidRDefault="00A30716" w:rsidP="00A30716">
      <w:pPr>
        <w:widowControl w:val="0"/>
        <w:autoSpaceDE w:val="0"/>
        <w:autoSpaceDN w:val="0"/>
        <w:adjustRightInd w:val="0"/>
        <w:spacing w:after="0" w:line="240" w:lineRule="auto"/>
        <w:ind w:firstLine="709"/>
        <w:jc w:val="both"/>
        <w:rPr>
          <w:noProof/>
          <w:lang w:eastAsia="ru-RU"/>
        </w:rPr>
      </w:pPr>
      <w:r>
        <w:rPr>
          <w:noProof/>
          <w:lang w:eastAsia="ru-RU"/>
        </w:rPr>
        <w:lastRenderedPageBreak/>
        <w:drawing>
          <wp:inline distT="0" distB="0" distL="0" distR="0" wp14:anchorId="12A73202" wp14:editId="33363EA9">
            <wp:extent cx="5478449" cy="399155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30716" w:rsidRPr="00950A56" w:rsidRDefault="00A30716" w:rsidP="00A30716">
      <w:pPr>
        <w:widowControl w:val="0"/>
        <w:autoSpaceDE w:val="0"/>
        <w:autoSpaceDN w:val="0"/>
        <w:adjustRightInd w:val="0"/>
        <w:spacing w:after="0" w:line="240" w:lineRule="auto"/>
        <w:ind w:firstLine="708"/>
        <w:jc w:val="center"/>
        <w:rPr>
          <w:rFonts w:ascii="Times New Roman" w:hAnsi="Times New Roman"/>
          <w:b/>
          <w:noProof/>
          <w:sz w:val="24"/>
          <w:szCs w:val="24"/>
          <w:lang w:eastAsia="ru-RU"/>
        </w:rPr>
      </w:pPr>
      <w:r w:rsidRPr="00F27828">
        <w:rPr>
          <w:rFonts w:ascii="Times New Roman" w:eastAsia="Calibri" w:hAnsi="Times New Roman" w:cs="Times New Roman"/>
          <w:b/>
          <w:noProof/>
          <w:sz w:val="24"/>
          <w:szCs w:val="24"/>
          <w:lang w:eastAsia="ru-RU"/>
        </w:rPr>
        <w:t>Рис. 2</w:t>
      </w:r>
      <w:r w:rsidR="00F27828" w:rsidRPr="00F27828">
        <w:rPr>
          <w:rFonts w:ascii="Times New Roman" w:eastAsia="Calibri" w:hAnsi="Times New Roman" w:cs="Times New Roman"/>
          <w:b/>
          <w:noProof/>
          <w:sz w:val="24"/>
          <w:szCs w:val="24"/>
          <w:lang w:eastAsia="ru-RU"/>
        </w:rPr>
        <w:t>1</w:t>
      </w:r>
      <w:r w:rsidRPr="00F27828">
        <w:rPr>
          <w:rFonts w:ascii="Times New Roman" w:eastAsia="Calibri" w:hAnsi="Times New Roman" w:cs="Times New Roman"/>
          <w:b/>
          <w:noProof/>
          <w:sz w:val="24"/>
          <w:szCs w:val="24"/>
          <w:lang w:eastAsia="ru-RU"/>
        </w:rPr>
        <w:t xml:space="preserve"> - </w:t>
      </w:r>
      <w:r w:rsidRPr="00950A56">
        <w:rPr>
          <w:rFonts w:ascii="Times New Roman" w:eastAsia="Calibri" w:hAnsi="Times New Roman" w:cs="Times New Roman"/>
          <w:b/>
          <w:noProof/>
          <w:sz w:val="24"/>
          <w:szCs w:val="24"/>
          <w:lang w:eastAsia="ru-RU"/>
        </w:rPr>
        <w:t>Основные направления расходов</w:t>
      </w:r>
      <w:r>
        <w:rPr>
          <w:rFonts w:ascii="Times New Roman" w:eastAsia="Calibri" w:hAnsi="Times New Roman" w:cs="Times New Roman"/>
          <w:b/>
          <w:noProof/>
          <w:sz w:val="24"/>
          <w:szCs w:val="24"/>
          <w:lang w:eastAsia="ru-RU"/>
        </w:rPr>
        <w:t xml:space="preserve"> по</w:t>
      </w:r>
      <w:r w:rsidRPr="00950A56">
        <w:rPr>
          <w:rFonts w:ascii="Times New Roman" w:eastAsia="Calibri" w:hAnsi="Times New Roman" w:cs="Times New Roman"/>
          <w:b/>
          <w:noProof/>
          <w:sz w:val="24"/>
          <w:szCs w:val="24"/>
          <w:lang w:eastAsia="ru-RU"/>
        </w:rPr>
        <w:t xml:space="preserve"> </w:t>
      </w:r>
      <w:r w:rsidRPr="00950A56">
        <w:rPr>
          <w:rFonts w:ascii="Times New Roman" w:hAnsi="Times New Roman"/>
          <w:b/>
          <w:noProof/>
          <w:sz w:val="24"/>
          <w:szCs w:val="24"/>
          <w:lang w:eastAsia="ru-RU"/>
        </w:rPr>
        <w:t xml:space="preserve">государственной программе </w:t>
      </w:r>
      <w:r w:rsidRPr="00325036">
        <w:rPr>
          <w:rFonts w:ascii="Times New Roman" w:eastAsia="Times New Roman" w:hAnsi="Times New Roman" w:cs="Times New Roman"/>
          <w:b/>
          <w:sz w:val="24"/>
          <w:szCs w:val="24"/>
          <w:lang w:eastAsia="ru-RU"/>
        </w:rPr>
        <w:t>«Развитие сельского хозяйства и регулирование рынков сельскохозяйственной продукции, сырья и продовольствия Амурской области на 2014-2020 годы»</w:t>
      </w:r>
      <w:r w:rsidRPr="00950A56">
        <w:rPr>
          <w:rFonts w:ascii="Times New Roman" w:eastAsia="Times New Roman" w:hAnsi="Times New Roman" w:cs="Times New Roman"/>
          <w:b/>
          <w:sz w:val="24"/>
          <w:szCs w:val="24"/>
          <w:lang w:eastAsia="ru-RU"/>
        </w:rPr>
        <w:t xml:space="preserve"> </w:t>
      </w:r>
      <w:r>
        <w:rPr>
          <w:rFonts w:ascii="Times New Roman" w:hAnsi="Times New Roman"/>
          <w:b/>
          <w:noProof/>
          <w:sz w:val="24"/>
          <w:szCs w:val="24"/>
          <w:lang w:eastAsia="ru-RU"/>
        </w:rPr>
        <w:t>в 2017 году, млн. руб.</w:t>
      </w:r>
    </w:p>
    <w:p w:rsidR="00A30716" w:rsidRDefault="00A30716" w:rsidP="009C45F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9C45F8" w:rsidRPr="001A299F" w:rsidRDefault="009C45F8" w:rsidP="009C45F8">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5.2. Исполнение расходов областного бюджета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 в рамках государственной программы «Развитие системы социальной защиты населения Амурской области на 2014-2020 гг.»</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Государственная программа «Развитие системы социальной защиты населения Амурской области на 2014-2020 гг.» утверждена постановлением Правительства Амурской области от 25.09.2013 № 444 (в редакции постановления Правительства Амурской области от </w:t>
      </w:r>
      <w:r>
        <w:rPr>
          <w:rFonts w:ascii="Times New Roman" w:eastAsia="Times New Roman" w:hAnsi="Times New Roman" w:cs="Times New Roman"/>
          <w:sz w:val="24"/>
          <w:szCs w:val="24"/>
          <w:lang w:eastAsia="ru-RU"/>
        </w:rPr>
        <w:t>22</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616</w:t>
      </w:r>
      <w:r w:rsidRPr="001A299F">
        <w:rPr>
          <w:rFonts w:ascii="Times New Roman" w:eastAsia="Times New Roman" w:hAnsi="Times New Roman" w:cs="Times New Roman"/>
          <w:sz w:val="24"/>
          <w:szCs w:val="24"/>
          <w:lang w:eastAsia="ru-RU"/>
        </w:rPr>
        <w:t xml:space="preserve">). Координатором государственной программы, подпрограмм является министерство социальной защиты населения Амурской области. Участниками государственной программы являются – министерство социальной защиты населения Амурской области, министерство юстиции Амурской области, министерство по физической культуре и спорту Амурской области, министерство образования и науки Амурской области, министерство культуры и </w:t>
      </w:r>
      <w:r>
        <w:rPr>
          <w:rFonts w:ascii="Times New Roman" w:eastAsia="Times New Roman" w:hAnsi="Times New Roman" w:cs="Times New Roman"/>
          <w:sz w:val="24"/>
          <w:szCs w:val="24"/>
          <w:lang w:eastAsia="ru-RU"/>
        </w:rPr>
        <w:t xml:space="preserve">архивного дела </w:t>
      </w:r>
      <w:r w:rsidRPr="001A299F">
        <w:rPr>
          <w:rFonts w:ascii="Times New Roman" w:eastAsia="Times New Roman" w:hAnsi="Times New Roman" w:cs="Times New Roman"/>
          <w:sz w:val="24"/>
          <w:szCs w:val="24"/>
          <w:lang w:eastAsia="ru-RU"/>
        </w:rPr>
        <w:t>Амурской области, министерство здравоохранения Амурской области, министерство транспорта и строительства Амурской области</w:t>
      </w:r>
      <w:r>
        <w:rPr>
          <w:rFonts w:ascii="Times New Roman" w:eastAsia="Times New Roman" w:hAnsi="Times New Roman" w:cs="Times New Roman"/>
          <w:sz w:val="24"/>
          <w:szCs w:val="24"/>
          <w:lang w:eastAsia="ru-RU"/>
        </w:rPr>
        <w:t>, управление занятости населения Амурской области.</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pacing w:val="6"/>
          <w:sz w:val="24"/>
          <w:szCs w:val="24"/>
        </w:rPr>
        <w:t xml:space="preserve">Законом Амурской области </w:t>
      </w:r>
      <w:r w:rsidRPr="00813B33">
        <w:rPr>
          <w:rFonts w:ascii="Times New Roman" w:hAnsi="Times New Roman" w:cs="Times New Roman"/>
          <w:spacing w:val="6"/>
          <w:sz w:val="24"/>
          <w:szCs w:val="24"/>
        </w:rPr>
        <w:t xml:space="preserve">от 20.12.2016 № 27-ОЗ «Об областном бюджете на 2017 год и плановый период 2018 и 2019 годов» </w:t>
      </w:r>
      <w:r>
        <w:rPr>
          <w:rFonts w:ascii="Times New Roman" w:hAnsi="Times New Roman" w:cs="Times New Roman"/>
          <w:spacing w:val="6"/>
          <w:sz w:val="24"/>
          <w:szCs w:val="24"/>
        </w:rPr>
        <w:t xml:space="preserve">(ред. от 21.12.2017) </w:t>
      </w:r>
      <w:r w:rsidRPr="001A299F">
        <w:rPr>
          <w:rFonts w:ascii="Times New Roman" w:eastAsia="Times New Roman" w:hAnsi="Times New Roman" w:cs="Times New Roman"/>
          <w:sz w:val="24"/>
          <w:szCs w:val="24"/>
          <w:lang w:eastAsia="ru-RU"/>
        </w:rPr>
        <w:t xml:space="preserve">на реализацию государственной программы «Развитие системы социальной защиты населения Амурской области на 2014-2020 гг.» утверждены бюджетные ассигнования в сумме </w:t>
      </w:r>
      <w:r>
        <w:rPr>
          <w:rFonts w:ascii="Times New Roman" w:eastAsia="Times New Roman" w:hAnsi="Times New Roman" w:cs="Times New Roman"/>
          <w:sz w:val="24"/>
          <w:szCs w:val="24"/>
          <w:lang w:eastAsia="ru-RU"/>
        </w:rPr>
        <w:t>8600464,7</w:t>
      </w:r>
      <w:r w:rsidRPr="001A299F">
        <w:rPr>
          <w:rFonts w:ascii="Times New Roman" w:eastAsia="Times New Roman" w:hAnsi="Times New Roman" w:cs="Times New Roman"/>
          <w:sz w:val="24"/>
          <w:szCs w:val="24"/>
          <w:lang w:eastAsia="ru-RU"/>
        </w:rPr>
        <w:t xml:space="preserve"> тыс. рублей.</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8618667,4</w:t>
      </w:r>
      <w:r w:rsidRPr="001A299F">
        <w:rPr>
          <w:rFonts w:ascii="Times New Roman" w:eastAsia="Times New Roman" w:hAnsi="Times New Roman" w:cs="Times New Roman"/>
          <w:sz w:val="24"/>
          <w:szCs w:val="24"/>
          <w:lang w:eastAsia="ru-RU"/>
        </w:rPr>
        <w:t xml:space="preserve">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w:t>
      </w:r>
      <w:r>
        <w:rPr>
          <w:rFonts w:ascii="Times New Roman" w:eastAsia="Times New Roman" w:hAnsi="Times New Roman" w:cs="Times New Roman"/>
          <w:sz w:val="24"/>
          <w:szCs w:val="24"/>
          <w:lang w:eastAsia="ru-RU"/>
        </w:rPr>
        <w:t xml:space="preserve">18202,7 </w:t>
      </w:r>
      <w:r w:rsidRPr="001A299F">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xml:space="preserve"> (средства федерального бюджета)</w:t>
      </w:r>
      <w:r w:rsidRPr="001A299F">
        <w:rPr>
          <w:rFonts w:ascii="Times New Roman" w:eastAsia="Times New Roman" w:hAnsi="Times New Roman" w:cs="Times New Roman"/>
          <w:sz w:val="24"/>
          <w:szCs w:val="24"/>
          <w:lang w:eastAsia="ru-RU"/>
        </w:rPr>
        <w:t xml:space="preserve">. </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утвержденный в государственной программе </w:t>
      </w:r>
      <w:r w:rsidRPr="001A299F">
        <w:rPr>
          <w:rFonts w:ascii="Times New Roman" w:hAnsi="Times New Roman" w:cs="Times New Roman"/>
          <w:sz w:val="24"/>
          <w:szCs w:val="24"/>
        </w:rPr>
        <w:lastRenderedPageBreak/>
        <w:t xml:space="preserve">постановлением Правительства Амурской области от 25.09.2013 № 444 (в редакции постановления Правительства Амурской области от </w:t>
      </w:r>
      <w:r>
        <w:rPr>
          <w:rFonts w:ascii="Times New Roman" w:hAnsi="Times New Roman" w:cs="Times New Roman"/>
          <w:sz w:val="24"/>
          <w:szCs w:val="24"/>
        </w:rPr>
        <w:t>22</w:t>
      </w:r>
      <w:r w:rsidRPr="001A299F">
        <w:rPr>
          <w:rFonts w:ascii="Times New Roman" w:hAnsi="Times New Roman" w:cs="Times New Roman"/>
          <w:sz w:val="24"/>
          <w:szCs w:val="24"/>
        </w:rPr>
        <w:t>.12.201</w:t>
      </w:r>
      <w:r>
        <w:rPr>
          <w:rFonts w:ascii="Times New Roman" w:hAnsi="Times New Roman" w:cs="Times New Roman"/>
          <w:sz w:val="24"/>
          <w:szCs w:val="24"/>
        </w:rPr>
        <w:t>7</w:t>
      </w:r>
      <w:r w:rsidRPr="001A299F">
        <w:rPr>
          <w:rFonts w:ascii="Times New Roman" w:hAnsi="Times New Roman" w:cs="Times New Roman"/>
          <w:sz w:val="24"/>
          <w:szCs w:val="24"/>
        </w:rPr>
        <w:t xml:space="preserve"> № </w:t>
      </w:r>
      <w:r>
        <w:rPr>
          <w:rFonts w:ascii="Times New Roman" w:hAnsi="Times New Roman" w:cs="Times New Roman"/>
          <w:sz w:val="24"/>
          <w:szCs w:val="24"/>
        </w:rPr>
        <w:t>616</w:t>
      </w:r>
      <w:r w:rsidRPr="001A299F">
        <w:rPr>
          <w:rFonts w:ascii="Times New Roman" w:hAnsi="Times New Roman" w:cs="Times New Roman"/>
          <w:sz w:val="24"/>
          <w:szCs w:val="24"/>
        </w:rPr>
        <w:t>)</w:t>
      </w:r>
      <w:r>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 составляет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8653005,3</w:t>
      </w:r>
      <w:r w:rsidRPr="001A299F">
        <w:rPr>
          <w:rFonts w:ascii="Times New Roman" w:eastAsia="Times New Roman" w:hAnsi="Times New Roman" w:cs="Times New Roman"/>
          <w:sz w:val="24"/>
          <w:szCs w:val="24"/>
          <w:lang w:eastAsia="ru-RU"/>
        </w:rPr>
        <w:t xml:space="preserve"> тыс. рублей (средства областного бюджета  и федерального бюджета). Отклонение от бюджетных ассигнований, утвержденных законом об областном бюджете</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52540,6</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8525823,7</w:t>
      </w:r>
      <w:r w:rsidRPr="001A299F">
        <w:rPr>
          <w:rFonts w:ascii="Times New Roman" w:eastAsia="Times New Roman" w:hAnsi="Times New Roman" w:cs="Times New Roman"/>
          <w:sz w:val="24"/>
          <w:szCs w:val="24"/>
          <w:lang w:eastAsia="ru-RU"/>
        </w:rPr>
        <w:t xml:space="preserve"> тыс. рублей, или </w:t>
      </w:r>
      <w:r w:rsidRPr="001A299F">
        <w:rPr>
          <w:rFonts w:ascii="Times New Roman" w:eastAsia="Times New Roman" w:hAnsi="Times New Roman" w:cs="Times New Roman"/>
          <w:sz w:val="24"/>
          <w:szCs w:val="24"/>
          <w:lang w:eastAsia="ru-RU"/>
        </w:rPr>
        <w:br/>
        <w:t>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системы социальной защиты населения Амурской области на 2014-2020 гг.» включает 5 подпрограмм.</w:t>
      </w:r>
    </w:p>
    <w:p w:rsidR="009C45F8" w:rsidRPr="00F2782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75DE">
        <w:rPr>
          <w:rFonts w:ascii="Times New Roman" w:eastAsia="Times New Roman" w:hAnsi="Times New Roman" w:cs="Times New Roman"/>
          <w:sz w:val="24"/>
          <w:szCs w:val="24"/>
          <w:lang w:eastAsia="ru-RU"/>
        </w:rPr>
        <w:t xml:space="preserve">В </w:t>
      </w:r>
      <w:r w:rsidRPr="00F27828">
        <w:rPr>
          <w:rFonts w:ascii="Times New Roman" w:eastAsia="Times New Roman" w:hAnsi="Times New Roman" w:cs="Times New Roman"/>
          <w:sz w:val="24"/>
          <w:szCs w:val="24"/>
          <w:lang w:eastAsia="ru-RU"/>
        </w:rPr>
        <w:t>таблице 5 представлена информация об исполнении государственной программы «Развитие системы социальной защиты населения Амурской области на 2014-2020 гг.» в разрезе подпрограмм.</w:t>
      </w:r>
    </w:p>
    <w:p w:rsidR="009C45F8" w:rsidRPr="00F27828" w:rsidRDefault="009C45F8" w:rsidP="009C45F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27828">
        <w:rPr>
          <w:rFonts w:ascii="Times New Roman" w:eastAsia="Times New Roman" w:hAnsi="Times New Roman" w:cs="Times New Roman"/>
          <w:sz w:val="24"/>
          <w:szCs w:val="24"/>
          <w:lang w:eastAsia="ru-RU"/>
        </w:rPr>
        <w:t>Таблица 5</w:t>
      </w:r>
    </w:p>
    <w:p w:rsidR="009C45F8" w:rsidRPr="00BB260A" w:rsidRDefault="009C45F8" w:rsidP="009C45F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260A">
        <w:rPr>
          <w:rFonts w:ascii="Times New Roman" w:eastAsia="Times New Roman" w:hAnsi="Times New Roman" w:cs="Times New Roman"/>
          <w:b/>
          <w:sz w:val="24"/>
          <w:szCs w:val="24"/>
          <w:lang w:eastAsia="ru-RU"/>
        </w:rPr>
        <w:t>Анализ исполнения государственной программы «Развитие системы социальной защиты населения Амурской области на 2014-2020 гг.» в разрезе подпрограмм</w:t>
      </w:r>
    </w:p>
    <w:p w:rsidR="009C45F8" w:rsidRPr="001A299F" w:rsidRDefault="009C45F8" w:rsidP="009C45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10031" w:type="dxa"/>
        <w:tblLayout w:type="fixed"/>
        <w:tblLook w:val="04A0" w:firstRow="1" w:lastRow="0" w:firstColumn="1" w:lastColumn="0" w:noHBand="0" w:noVBand="1"/>
      </w:tblPr>
      <w:tblGrid>
        <w:gridCol w:w="4077"/>
        <w:gridCol w:w="1418"/>
        <w:gridCol w:w="1559"/>
        <w:gridCol w:w="1220"/>
        <w:gridCol w:w="1757"/>
      </w:tblGrid>
      <w:tr w:rsidR="009C45F8" w:rsidRPr="001A299F" w:rsidTr="009C45F8">
        <w:trPr>
          <w:tblHeader/>
        </w:trPr>
        <w:tc>
          <w:tcPr>
            <w:tcW w:w="4077"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418"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План</w:t>
            </w:r>
          </w:p>
        </w:tc>
        <w:tc>
          <w:tcPr>
            <w:tcW w:w="1559"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Исполнение</w:t>
            </w:r>
          </w:p>
        </w:tc>
        <w:tc>
          <w:tcPr>
            <w:tcW w:w="1220"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Уровень исполне-ния,%</w:t>
            </w:r>
          </w:p>
        </w:tc>
        <w:tc>
          <w:tcPr>
            <w:tcW w:w="1757"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9C45F8" w:rsidRPr="001A299F" w:rsidTr="009C45F8">
        <w:tc>
          <w:tcPr>
            <w:tcW w:w="4077" w:type="dxa"/>
          </w:tcPr>
          <w:p w:rsidR="009C45F8" w:rsidRPr="001A299F" w:rsidRDefault="009C45F8" w:rsidP="009C45F8">
            <w:pPr>
              <w:widowControl w:val="0"/>
              <w:autoSpaceDE w:val="0"/>
              <w:autoSpaceDN w:val="0"/>
              <w:adjustRightInd w:val="0"/>
              <w:rPr>
                <w:b/>
                <w:bCs/>
                <w:sz w:val="24"/>
                <w:szCs w:val="24"/>
              </w:rPr>
            </w:pPr>
            <w:r w:rsidRPr="001A299F">
              <w:rPr>
                <w:b/>
                <w:bCs/>
                <w:sz w:val="24"/>
                <w:szCs w:val="24"/>
              </w:rPr>
              <w:t>Государственная программа «</w:t>
            </w:r>
            <w:r w:rsidRPr="001A299F">
              <w:rPr>
                <w:b/>
                <w:sz w:val="24"/>
                <w:szCs w:val="24"/>
              </w:rPr>
              <w:t>Развитие системы социальной защиты населения Амурской области на 2014-2020 гг.»</w:t>
            </w:r>
            <w:r w:rsidRPr="001A299F">
              <w:rPr>
                <w:b/>
                <w:bCs/>
                <w:sz w:val="24"/>
                <w:szCs w:val="24"/>
              </w:rPr>
              <w:t xml:space="preserve">, </w:t>
            </w:r>
          </w:p>
        </w:tc>
        <w:tc>
          <w:tcPr>
            <w:tcW w:w="1418"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8618667,4</w:t>
            </w:r>
          </w:p>
        </w:tc>
        <w:tc>
          <w:tcPr>
            <w:tcW w:w="1559"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8525823,7</w:t>
            </w:r>
          </w:p>
        </w:tc>
        <w:tc>
          <w:tcPr>
            <w:tcW w:w="1220"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98,9</w:t>
            </w:r>
          </w:p>
        </w:tc>
        <w:tc>
          <w:tcPr>
            <w:tcW w:w="1757"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92843,7</w:t>
            </w:r>
          </w:p>
        </w:tc>
      </w:tr>
      <w:tr w:rsidR="009C45F8" w:rsidRPr="001A299F" w:rsidTr="009C45F8">
        <w:tc>
          <w:tcPr>
            <w:tcW w:w="4077" w:type="dxa"/>
          </w:tcPr>
          <w:p w:rsidR="009C45F8" w:rsidRPr="001A299F" w:rsidRDefault="009C45F8" w:rsidP="009C45F8">
            <w:pPr>
              <w:widowControl w:val="0"/>
              <w:autoSpaceDE w:val="0"/>
              <w:autoSpaceDN w:val="0"/>
              <w:adjustRightInd w:val="0"/>
              <w:jc w:val="both"/>
              <w:rPr>
                <w:sz w:val="24"/>
                <w:szCs w:val="24"/>
              </w:rPr>
            </w:pPr>
            <w:r w:rsidRPr="001A299F">
              <w:rPr>
                <w:bCs/>
                <w:sz w:val="24"/>
                <w:szCs w:val="24"/>
              </w:rPr>
              <w:t>в том числе:</w:t>
            </w:r>
          </w:p>
        </w:tc>
        <w:tc>
          <w:tcPr>
            <w:tcW w:w="1418" w:type="dxa"/>
          </w:tcPr>
          <w:p w:rsidR="009C45F8" w:rsidRPr="001A299F" w:rsidRDefault="009C45F8" w:rsidP="009C45F8">
            <w:pPr>
              <w:widowControl w:val="0"/>
              <w:autoSpaceDE w:val="0"/>
              <w:autoSpaceDN w:val="0"/>
              <w:adjustRightInd w:val="0"/>
              <w:jc w:val="right"/>
              <w:rPr>
                <w:sz w:val="24"/>
                <w:szCs w:val="24"/>
              </w:rPr>
            </w:pPr>
          </w:p>
        </w:tc>
        <w:tc>
          <w:tcPr>
            <w:tcW w:w="1559" w:type="dxa"/>
          </w:tcPr>
          <w:p w:rsidR="009C45F8" w:rsidRPr="001A299F" w:rsidRDefault="009C45F8" w:rsidP="009C45F8">
            <w:pPr>
              <w:widowControl w:val="0"/>
              <w:autoSpaceDE w:val="0"/>
              <w:autoSpaceDN w:val="0"/>
              <w:adjustRightInd w:val="0"/>
              <w:jc w:val="right"/>
              <w:rPr>
                <w:sz w:val="24"/>
                <w:szCs w:val="24"/>
              </w:rPr>
            </w:pPr>
          </w:p>
        </w:tc>
        <w:tc>
          <w:tcPr>
            <w:tcW w:w="1220" w:type="dxa"/>
          </w:tcPr>
          <w:p w:rsidR="009C45F8" w:rsidRPr="001A299F" w:rsidRDefault="009C45F8" w:rsidP="009C45F8">
            <w:pPr>
              <w:widowControl w:val="0"/>
              <w:autoSpaceDE w:val="0"/>
              <w:autoSpaceDN w:val="0"/>
              <w:adjustRightInd w:val="0"/>
              <w:jc w:val="right"/>
              <w:rPr>
                <w:sz w:val="24"/>
                <w:szCs w:val="24"/>
              </w:rPr>
            </w:pPr>
          </w:p>
        </w:tc>
        <w:tc>
          <w:tcPr>
            <w:tcW w:w="1757" w:type="dxa"/>
          </w:tcPr>
          <w:p w:rsidR="009C45F8" w:rsidRPr="001A299F" w:rsidRDefault="009C45F8" w:rsidP="009C45F8">
            <w:pPr>
              <w:widowControl w:val="0"/>
              <w:autoSpaceDE w:val="0"/>
              <w:autoSpaceDN w:val="0"/>
              <w:adjustRightInd w:val="0"/>
              <w:jc w:val="right"/>
              <w:rPr>
                <w:sz w:val="24"/>
                <w:szCs w:val="24"/>
              </w:rPr>
            </w:pPr>
          </w:p>
        </w:tc>
      </w:tr>
      <w:tr w:rsidR="009C45F8" w:rsidRPr="001A299F" w:rsidTr="009C45F8">
        <w:tc>
          <w:tcPr>
            <w:tcW w:w="4077"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«Совершенствование организации деятельности учреждений социальной защиты и социального обслуживания населения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1891342,6</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1875328,2</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99,2</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16014,4</w:t>
            </w:r>
          </w:p>
        </w:tc>
      </w:tr>
      <w:tr w:rsidR="009C45F8" w:rsidRPr="001A299F" w:rsidTr="009C45F8">
        <w:tc>
          <w:tcPr>
            <w:tcW w:w="4077"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«Социальная поддержка семьи и детей в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2601719,5</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2562763,5</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98,5</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38956,0</w:t>
            </w:r>
          </w:p>
        </w:tc>
      </w:tr>
      <w:tr w:rsidR="009C45F8" w:rsidRPr="001A299F" w:rsidTr="009C45F8">
        <w:tc>
          <w:tcPr>
            <w:tcW w:w="4077"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«Социальная поддержка отдельных категорий граждан в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4025700,4</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3988323,6</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99,1</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37376,8</w:t>
            </w:r>
          </w:p>
        </w:tc>
      </w:tr>
      <w:tr w:rsidR="009C45F8" w:rsidRPr="001A299F" w:rsidTr="009C45F8">
        <w:tc>
          <w:tcPr>
            <w:tcW w:w="4077"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«Реабилитация и обеспечение жизнедеятельности инвалидов в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43339,1</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43201,4</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99,</w:t>
            </w:r>
            <w:r>
              <w:rPr>
                <w:sz w:val="24"/>
                <w:szCs w:val="24"/>
              </w:rPr>
              <w:t>7</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137,7</w:t>
            </w:r>
          </w:p>
        </w:tc>
      </w:tr>
      <w:tr w:rsidR="009C45F8" w:rsidRPr="001A299F" w:rsidTr="009C45F8">
        <w:tc>
          <w:tcPr>
            <w:tcW w:w="4077"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 xml:space="preserve">Подпрограмма «Обеспечение реализации основных направлений государственной политики области в сфере социальной защиты населения Амурской области» </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56565,8</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56207,0</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99,4</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358,8</w:t>
            </w:r>
          </w:p>
        </w:tc>
      </w:tr>
    </w:tbl>
    <w:p w:rsidR="009C45F8" w:rsidRDefault="009C45F8" w:rsidP="009C45F8">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9C45F8" w:rsidRPr="001A299F" w:rsidRDefault="009C45F8" w:rsidP="00F27828">
      <w:pPr>
        <w:widowControl w:val="0"/>
        <w:tabs>
          <w:tab w:val="left" w:pos="993"/>
        </w:tabs>
        <w:autoSpaceDE w:val="0"/>
        <w:autoSpaceDN w:val="0"/>
        <w:adjustRightInd w:val="0"/>
        <w:spacing w:before="120" w:after="0" w:line="240" w:lineRule="auto"/>
        <w:ind w:left="720" w:firstLine="85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«Совершенствование организации деятельности учреждений социальной защиты и социального обслуживания населения Амурской области»</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«Совершенствование организации деятельности учреждений социальной защиты и социального обслуживания населения Амурской области» утверждены в сумме </w:t>
      </w:r>
      <w:r>
        <w:rPr>
          <w:rFonts w:ascii="Times New Roman" w:hAnsi="Times New Roman" w:cs="Times New Roman"/>
          <w:sz w:val="24"/>
          <w:szCs w:val="24"/>
        </w:rPr>
        <w:t>1891342,6</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21,</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lastRenderedPageBreak/>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 плановых назначений.</w:t>
      </w:r>
    </w:p>
    <w:p w:rsidR="009C45F8" w:rsidRPr="001A299F" w:rsidRDefault="009C45F8" w:rsidP="009C45F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w:t>
      </w:r>
      <w:r w:rsidRPr="001A299F">
        <w:rPr>
          <w:rFonts w:ascii="Times New Roman" w:eastAsia="Times New Roman" w:hAnsi="Times New Roman" w:cs="Times New Roman"/>
          <w:sz w:val="24"/>
          <w:szCs w:val="24"/>
          <w:lang w:eastAsia="ru-RU"/>
        </w:rPr>
        <w:t xml:space="preserve"> объем бюджетных ассигнований, предусмотренных на реализацию данной подпрограммы, приходится на расходы по обеспечению деятельности (оказанию услуг) государственных учреждений – </w:t>
      </w:r>
      <w:r>
        <w:rPr>
          <w:rFonts w:ascii="Times New Roman" w:eastAsia="Times New Roman" w:hAnsi="Times New Roman" w:cs="Times New Roman"/>
          <w:sz w:val="24"/>
          <w:szCs w:val="24"/>
          <w:lang w:eastAsia="ru-RU"/>
        </w:rPr>
        <w:t>1821841,2</w:t>
      </w:r>
      <w:r w:rsidRPr="001A299F">
        <w:rPr>
          <w:rFonts w:ascii="Times New Roman" w:eastAsia="Times New Roman" w:hAnsi="Times New Roman" w:cs="Times New Roman"/>
          <w:sz w:val="24"/>
          <w:szCs w:val="24"/>
          <w:lang w:eastAsia="ru-RU"/>
        </w:rPr>
        <w:t xml:space="preserve"> тыс. рублей. Исполнение по указанному мероприятию подпрограммы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составляет </w:t>
      </w:r>
      <w:r>
        <w:rPr>
          <w:rFonts w:ascii="Times New Roman" w:eastAsia="Times New Roman" w:hAnsi="Times New Roman" w:cs="Times New Roman"/>
          <w:sz w:val="24"/>
          <w:szCs w:val="24"/>
          <w:lang w:eastAsia="ru-RU"/>
        </w:rPr>
        <w:t>1807053,2</w:t>
      </w:r>
      <w:r w:rsidRPr="001A299F">
        <w:rPr>
          <w:rFonts w:ascii="Times New Roman" w:eastAsia="Times New Roman" w:hAnsi="Times New Roman" w:cs="Times New Roman"/>
          <w:sz w:val="24"/>
          <w:szCs w:val="24"/>
          <w:lang w:eastAsia="ru-RU"/>
        </w:rPr>
        <w:t xml:space="preserve"> тыс. рублей, или </w:t>
      </w:r>
      <w:r w:rsidRPr="001A299F">
        <w:rPr>
          <w:rFonts w:ascii="Times New Roman" w:eastAsia="Times New Roman" w:hAnsi="Times New Roman" w:cs="Times New Roman"/>
          <w:sz w:val="24"/>
          <w:szCs w:val="24"/>
          <w:lang w:eastAsia="ru-RU"/>
        </w:rPr>
        <w:br/>
        <w:t>99,</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555F87">
        <w:rPr>
          <w:rFonts w:ascii="Times New Roman" w:eastAsia="Times New Roman" w:hAnsi="Times New Roman" w:cs="Times New Roman"/>
          <w:sz w:val="24"/>
          <w:szCs w:val="24"/>
          <w:lang w:eastAsia="ru-RU"/>
        </w:rPr>
        <w:t xml:space="preserve">В полном объеме </w:t>
      </w:r>
      <w:r w:rsidRPr="001A299F">
        <w:rPr>
          <w:rFonts w:ascii="Times New Roman" w:eastAsia="Times New Roman" w:hAnsi="Times New Roman" w:cs="Times New Roman"/>
          <w:sz w:val="24"/>
          <w:szCs w:val="24"/>
          <w:lang w:eastAsia="ru-RU"/>
        </w:rPr>
        <w:t>исполнен</w:t>
      </w:r>
      <w:r>
        <w:rPr>
          <w:rFonts w:ascii="Times New Roman" w:eastAsia="Times New Roman" w:hAnsi="Times New Roman" w:cs="Times New Roman"/>
          <w:sz w:val="24"/>
          <w:szCs w:val="24"/>
          <w:lang w:eastAsia="ru-RU"/>
        </w:rPr>
        <w:t>ы</w:t>
      </w:r>
      <w:r w:rsidRPr="001A2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1A299F">
        <w:rPr>
          <w:rFonts w:ascii="Times New Roman" w:eastAsia="Times New Roman" w:hAnsi="Times New Roman" w:cs="Times New Roman"/>
          <w:sz w:val="24"/>
          <w:szCs w:val="24"/>
          <w:lang w:eastAsia="ru-RU"/>
        </w:rPr>
        <w:t>ероприяти</w:t>
      </w:r>
      <w:r>
        <w:rPr>
          <w:rFonts w:ascii="Times New Roman" w:eastAsia="Times New Roman" w:hAnsi="Times New Roman" w:cs="Times New Roman"/>
          <w:sz w:val="24"/>
          <w:szCs w:val="24"/>
          <w:lang w:eastAsia="ru-RU"/>
        </w:rPr>
        <w:t>я</w:t>
      </w:r>
      <w:r w:rsidRPr="001A299F">
        <w:rPr>
          <w:rFonts w:ascii="Times New Roman" w:eastAsia="Times New Roman" w:hAnsi="Times New Roman" w:cs="Times New Roman"/>
          <w:sz w:val="24"/>
          <w:szCs w:val="24"/>
          <w:lang w:eastAsia="ru-RU"/>
        </w:rPr>
        <w:t xml:space="preserve"> подпрограммы – укрепление материально-технической базы учреждений социального обслуживания населения </w:t>
      </w:r>
      <w:r>
        <w:rPr>
          <w:rFonts w:ascii="Times New Roman" w:eastAsia="Times New Roman" w:hAnsi="Times New Roman" w:cs="Times New Roman"/>
          <w:sz w:val="24"/>
          <w:szCs w:val="24"/>
          <w:lang w:eastAsia="ru-RU"/>
        </w:rPr>
        <w:t xml:space="preserve">и оказание адресной социальной помощи неработающим пенсионерам, обучение компьютерной грамотности неработающих пенсионеров – 2992,0 тыс. рублей, компенсация за предоставление социальных услуг поставщикам социальных услуг, включенным в реестр поставщиков социальных услуг Амурской области, но не участвующим в выполнении государственного задания (заказа) – 485,4 тыс. рублей. </w:t>
      </w:r>
    </w:p>
    <w:p w:rsidR="009C45F8" w:rsidRPr="001A299F"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Расходы по пересылке (доставке, перечислению) денежных выплат (пособий, социальной поддержки, денежного вознаграждения) отдельным категориям граждан исполнены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в объеме </w:t>
      </w:r>
      <w:r>
        <w:rPr>
          <w:rFonts w:ascii="Times New Roman" w:eastAsia="Times New Roman" w:hAnsi="Times New Roman" w:cs="Times New Roman"/>
          <w:sz w:val="24"/>
          <w:szCs w:val="24"/>
          <w:lang w:eastAsia="ru-RU"/>
        </w:rPr>
        <w:t>62238,8</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1A299F">
        <w:rPr>
          <w:rFonts w:ascii="Times New Roman" w:eastAsia="Times New Roman" w:hAnsi="Times New Roman" w:cs="Times New Roman"/>
          <w:sz w:val="24"/>
          <w:szCs w:val="24"/>
          <w:lang w:eastAsia="ru-RU"/>
        </w:rPr>
        <w:t xml:space="preserve"> плановых назначений.</w:t>
      </w:r>
    </w:p>
    <w:p w:rsidR="009C45F8" w:rsidRPr="001A299F" w:rsidRDefault="009C45F8" w:rsidP="00124114">
      <w:pPr>
        <w:widowControl w:val="0"/>
        <w:numPr>
          <w:ilvl w:val="0"/>
          <w:numId w:val="6"/>
        </w:numPr>
        <w:autoSpaceDE w:val="0"/>
        <w:autoSpaceDN w:val="0"/>
        <w:adjustRightInd w:val="0"/>
        <w:spacing w:before="120" w:after="0" w:line="240" w:lineRule="auto"/>
        <w:ind w:hanging="1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«Социальная поддержка семьи и детей в Амурской области»</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«Социальная поддержка семьи и детей в Амурской области»  утверждены в сумме</w:t>
      </w:r>
      <w:r>
        <w:rPr>
          <w:rFonts w:ascii="Times New Roman" w:hAnsi="Times New Roman" w:cs="Times New Roman"/>
          <w:sz w:val="24"/>
          <w:szCs w:val="24"/>
        </w:rPr>
        <w:t xml:space="preserve"> 2601719,5 </w:t>
      </w:r>
      <w:r w:rsidRPr="001A299F">
        <w:rPr>
          <w:rFonts w:ascii="Times New Roman" w:hAnsi="Times New Roman" w:cs="Times New Roman"/>
          <w:sz w:val="24"/>
          <w:szCs w:val="24"/>
        </w:rPr>
        <w:t xml:space="preserve">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t>30</w:t>
      </w:r>
      <w:r w:rsidRPr="001A299F">
        <w:rPr>
          <w:rFonts w:ascii="Times New Roman" w:hAnsi="Times New Roman" w:cs="Times New Roman"/>
          <w:sz w:val="24"/>
          <w:szCs w:val="24"/>
        </w:rPr>
        <w:t>,</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8</w:t>
      </w:r>
      <w:r w:rsidRPr="001A299F">
        <w:rPr>
          <w:rFonts w:ascii="Times New Roman" w:hAnsi="Times New Roman" w:cs="Times New Roman"/>
          <w:sz w:val="24"/>
          <w:szCs w:val="24"/>
        </w:rPr>
        <w:t>,</w:t>
      </w:r>
      <w:r>
        <w:rPr>
          <w:rFonts w:ascii="Times New Roman" w:hAnsi="Times New Roman" w:cs="Times New Roman"/>
          <w:sz w:val="24"/>
          <w:szCs w:val="24"/>
        </w:rPr>
        <w:t>5</w:t>
      </w:r>
      <w:r w:rsidRPr="001A299F">
        <w:rPr>
          <w:rFonts w:ascii="Times New Roman" w:hAnsi="Times New Roman" w:cs="Times New Roman"/>
          <w:sz w:val="24"/>
          <w:szCs w:val="24"/>
        </w:rPr>
        <w:t xml:space="preserve"> процента плановых назначений.</w:t>
      </w:r>
    </w:p>
    <w:p w:rsidR="009C45F8" w:rsidRPr="001A299F" w:rsidRDefault="009C45F8" w:rsidP="009C45F8">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9C45F8" w:rsidRPr="00AB6F28" w:rsidRDefault="009C45F8" w:rsidP="00124114">
      <w:pPr>
        <w:pStyle w:val="afa"/>
        <w:numPr>
          <w:ilvl w:val="0"/>
          <w:numId w:val="7"/>
        </w:numPr>
        <w:ind w:left="0" w:firstLine="360"/>
        <w:jc w:val="both"/>
        <w:rPr>
          <w:sz w:val="24"/>
          <w:szCs w:val="24"/>
        </w:rPr>
      </w:pPr>
      <w:r w:rsidRPr="00AB6F28">
        <w:rPr>
          <w:sz w:val="24"/>
          <w:szCs w:val="24"/>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 681989,5 тыс. рублей, исполнение за 2017 год составляет 673361,6 тыс. рублей, или 98,7 процента плановых назначений; </w:t>
      </w:r>
    </w:p>
    <w:p w:rsidR="009C45F8" w:rsidRDefault="009C45F8" w:rsidP="00124114">
      <w:pPr>
        <w:pStyle w:val="afa"/>
        <w:numPr>
          <w:ilvl w:val="0"/>
          <w:numId w:val="7"/>
        </w:numPr>
        <w:ind w:left="0" w:firstLine="360"/>
        <w:jc w:val="both"/>
        <w:rPr>
          <w:sz w:val="24"/>
          <w:szCs w:val="24"/>
        </w:rPr>
      </w:pPr>
      <w:r w:rsidRPr="00016529">
        <w:rPr>
          <w:sz w:val="24"/>
          <w:szCs w:val="24"/>
        </w:rPr>
        <w:t xml:space="preserve">выплата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 </w:t>
      </w:r>
      <w:r>
        <w:rPr>
          <w:sz w:val="24"/>
          <w:szCs w:val="24"/>
        </w:rPr>
        <w:t>505709,4</w:t>
      </w:r>
      <w:r w:rsidRPr="00016529">
        <w:rPr>
          <w:sz w:val="24"/>
          <w:szCs w:val="24"/>
        </w:rPr>
        <w:t xml:space="preserve"> тыс. рублей, исполнение за 201</w:t>
      </w:r>
      <w:r>
        <w:rPr>
          <w:sz w:val="24"/>
          <w:szCs w:val="24"/>
        </w:rPr>
        <w:t>7</w:t>
      </w:r>
      <w:r w:rsidRPr="00016529">
        <w:rPr>
          <w:sz w:val="24"/>
          <w:szCs w:val="24"/>
        </w:rPr>
        <w:t xml:space="preserve"> год составляет </w:t>
      </w:r>
      <w:r>
        <w:rPr>
          <w:sz w:val="24"/>
          <w:szCs w:val="24"/>
        </w:rPr>
        <w:t>494122,7</w:t>
      </w:r>
      <w:r w:rsidRPr="00016529">
        <w:rPr>
          <w:sz w:val="24"/>
          <w:szCs w:val="24"/>
        </w:rPr>
        <w:t xml:space="preserve"> тыс. рублей, или 9</w:t>
      </w:r>
      <w:r>
        <w:rPr>
          <w:sz w:val="24"/>
          <w:szCs w:val="24"/>
        </w:rPr>
        <w:t>7</w:t>
      </w:r>
      <w:r w:rsidRPr="00016529">
        <w:rPr>
          <w:sz w:val="24"/>
          <w:szCs w:val="24"/>
        </w:rPr>
        <w:t>,</w:t>
      </w:r>
      <w:r>
        <w:rPr>
          <w:sz w:val="24"/>
          <w:szCs w:val="24"/>
        </w:rPr>
        <w:t>7</w:t>
      </w:r>
      <w:r w:rsidRPr="00016529">
        <w:rPr>
          <w:sz w:val="24"/>
          <w:szCs w:val="24"/>
        </w:rPr>
        <w:t xml:space="preserve"> </w:t>
      </w:r>
      <w:r>
        <w:rPr>
          <w:sz w:val="24"/>
          <w:szCs w:val="24"/>
        </w:rPr>
        <w:t>процента плановых назначений;</w:t>
      </w:r>
    </w:p>
    <w:p w:rsidR="009C45F8" w:rsidRPr="00016529" w:rsidRDefault="009C45F8" w:rsidP="00124114">
      <w:pPr>
        <w:pStyle w:val="afa"/>
        <w:numPr>
          <w:ilvl w:val="0"/>
          <w:numId w:val="7"/>
        </w:numPr>
        <w:ind w:left="0" w:firstLine="360"/>
        <w:jc w:val="both"/>
        <w:rPr>
          <w:sz w:val="24"/>
          <w:szCs w:val="24"/>
        </w:rPr>
      </w:pPr>
      <w:r w:rsidRPr="00016529">
        <w:rPr>
          <w:sz w:val="24"/>
          <w:szCs w:val="24"/>
        </w:rPr>
        <w:t xml:space="preserve">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 </w:t>
      </w:r>
      <w:r>
        <w:rPr>
          <w:sz w:val="24"/>
          <w:szCs w:val="24"/>
        </w:rPr>
        <w:t>489622,2</w:t>
      </w:r>
      <w:r w:rsidRPr="00016529">
        <w:rPr>
          <w:sz w:val="24"/>
          <w:szCs w:val="24"/>
        </w:rPr>
        <w:t xml:space="preserve"> тыс. рублей</w:t>
      </w:r>
      <w:r>
        <w:rPr>
          <w:sz w:val="24"/>
          <w:szCs w:val="24"/>
        </w:rPr>
        <w:t xml:space="preserve">, </w:t>
      </w:r>
      <w:r>
        <w:rPr>
          <w:sz w:val="24"/>
          <w:szCs w:val="24"/>
        </w:rPr>
        <w:br/>
      </w:r>
      <w:r w:rsidRPr="00016529">
        <w:rPr>
          <w:sz w:val="24"/>
          <w:szCs w:val="24"/>
        </w:rPr>
        <w:t>исполнение за 201</w:t>
      </w:r>
      <w:r>
        <w:rPr>
          <w:sz w:val="24"/>
          <w:szCs w:val="24"/>
        </w:rPr>
        <w:t>7</w:t>
      </w:r>
      <w:r w:rsidRPr="00016529">
        <w:rPr>
          <w:sz w:val="24"/>
          <w:szCs w:val="24"/>
        </w:rPr>
        <w:t xml:space="preserve"> год составляет </w:t>
      </w:r>
      <w:r>
        <w:rPr>
          <w:sz w:val="24"/>
          <w:szCs w:val="24"/>
        </w:rPr>
        <w:t>488742,7</w:t>
      </w:r>
      <w:r w:rsidRPr="00016529">
        <w:rPr>
          <w:sz w:val="24"/>
          <w:szCs w:val="24"/>
        </w:rPr>
        <w:t xml:space="preserve"> тыс. рублей, или 99,</w:t>
      </w:r>
      <w:r>
        <w:rPr>
          <w:sz w:val="24"/>
          <w:szCs w:val="24"/>
        </w:rPr>
        <w:t>8</w:t>
      </w:r>
      <w:r w:rsidRPr="00016529">
        <w:rPr>
          <w:sz w:val="24"/>
          <w:szCs w:val="24"/>
        </w:rPr>
        <w:t xml:space="preserve"> процента;</w:t>
      </w:r>
    </w:p>
    <w:p w:rsidR="009C45F8" w:rsidRPr="00016529" w:rsidRDefault="009C45F8" w:rsidP="00124114">
      <w:pPr>
        <w:pStyle w:val="afa"/>
        <w:numPr>
          <w:ilvl w:val="0"/>
          <w:numId w:val="7"/>
        </w:numPr>
        <w:ind w:left="0" w:firstLine="360"/>
        <w:jc w:val="both"/>
        <w:rPr>
          <w:sz w:val="24"/>
          <w:szCs w:val="24"/>
        </w:rPr>
      </w:pPr>
      <w:r w:rsidRPr="00016529">
        <w:rPr>
          <w:sz w:val="24"/>
          <w:szCs w:val="24"/>
        </w:rPr>
        <w:t xml:space="preserve">пособие на ребенка – </w:t>
      </w:r>
      <w:r>
        <w:rPr>
          <w:sz w:val="24"/>
          <w:szCs w:val="24"/>
        </w:rPr>
        <w:t>317588,4</w:t>
      </w:r>
      <w:r w:rsidRPr="00016529">
        <w:rPr>
          <w:sz w:val="24"/>
          <w:szCs w:val="24"/>
        </w:rPr>
        <w:t xml:space="preserve"> тыс. рублей, исполнение – </w:t>
      </w:r>
      <w:r>
        <w:rPr>
          <w:sz w:val="24"/>
          <w:szCs w:val="24"/>
        </w:rPr>
        <w:t xml:space="preserve">317242,8 </w:t>
      </w:r>
      <w:r w:rsidRPr="00016529">
        <w:rPr>
          <w:sz w:val="24"/>
          <w:szCs w:val="24"/>
        </w:rPr>
        <w:t xml:space="preserve">тыс. рублей, или </w:t>
      </w:r>
      <w:r>
        <w:rPr>
          <w:sz w:val="24"/>
          <w:szCs w:val="24"/>
        </w:rPr>
        <w:t>99,9</w:t>
      </w:r>
      <w:r w:rsidRPr="00016529">
        <w:rPr>
          <w:sz w:val="24"/>
          <w:szCs w:val="24"/>
        </w:rPr>
        <w:t xml:space="preserve"> процент</w:t>
      </w:r>
      <w:r>
        <w:rPr>
          <w:sz w:val="24"/>
          <w:szCs w:val="24"/>
        </w:rPr>
        <w:t>а;</w:t>
      </w:r>
    </w:p>
    <w:p w:rsidR="009C45F8" w:rsidRPr="00016529" w:rsidRDefault="009C45F8" w:rsidP="00124114">
      <w:pPr>
        <w:pStyle w:val="afa"/>
        <w:numPr>
          <w:ilvl w:val="0"/>
          <w:numId w:val="7"/>
        </w:numPr>
        <w:ind w:left="0" w:firstLine="360"/>
        <w:jc w:val="both"/>
        <w:rPr>
          <w:sz w:val="24"/>
          <w:szCs w:val="24"/>
        </w:rPr>
      </w:pPr>
      <w:r>
        <w:rPr>
          <w:sz w:val="24"/>
          <w:szCs w:val="24"/>
        </w:rPr>
        <w:t>социальная поддержка многодетных семей по оплате коммунальных услуг, проезда в общественном транспорте, питания для учащихся образовательных организаций и освобождению от платы за лекарства, приобретаемые по рецептам врачей – 197454,5 тыс. рублей, исполнение – 197196,3 тыс. рублей, или 99,9 процента плановых назначений.</w:t>
      </w:r>
    </w:p>
    <w:p w:rsidR="009C45F8" w:rsidRPr="001A299F" w:rsidRDefault="009C45F8" w:rsidP="00F27828">
      <w:pPr>
        <w:widowControl w:val="0"/>
        <w:autoSpaceDE w:val="0"/>
        <w:autoSpaceDN w:val="0"/>
        <w:adjustRightInd w:val="0"/>
        <w:spacing w:after="0" w:line="240" w:lineRule="auto"/>
        <w:ind w:left="851"/>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«Социальная поддержка отдельных категорий граждан в Амурской области»</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«Социальная поддержка отдельных категорий граждан в Амурской области» утверждены в сумме </w:t>
      </w:r>
      <w:r>
        <w:rPr>
          <w:rFonts w:ascii="Times New Roman" w:hAnsi="Times New Roman" w:cs="Times New Roman"/>
          <w:sz w:val="24"/>
          <w:szCs w:val="24"/>
        </w:rPr>
        <w:t>4025700,4</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4</w:t>
      </w:r>
      <w:r>
        <w:rPr>
          <w:rFonts w:ascii="Times New Roman" w:hAnsi="Times New Roman" w:cs="Times New Roman"/>
          <w:sz w:val="24"/>
          <w:szCs w:val="24"/>
        </w:rPr>
        <w:t>6</w:t>
      </w:r>
      <w:r w:rsidRPr="001A299F">
        <w:rPr>
          <w:rFonts w:ascii="Times New Roman" w:hAnsi="Times New Roman" w:cs="Times New Roman"/>
          <w:sz w:val="24"/>
          <w:szCs w:val="24"/>
        </w:rPr>
        <w:t>,</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1</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w:t>
      </w:r>
    </w:p>
    <w:p w:rsidR="009C45F8" w:rsidRPr="001A299F" w:rsidRDefault="009C45F8" w:rsidP="009C45F8">
      <w:pPr>
        <w:autoSpaceDE w:val="0"/>
        <w:autoSpaceDN w:val="0"/>
        <w:adjustRightInd w:val="0"/>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lastRenderedPageBreak/>
        <w:t>Основной объем бюджетных ассигнований  подпрограммы, приходится на реализацию следующих мероприятий:</w:t>
      </w:r>
    </w:p>
    <w:p w:rsidR="009C45F8" w:rsidRPr="00B81EDA" w:rsidRDefault="009C45F8" w:rsidP="00124114">
      <w:pPr>
        <w:pStyle w:val="afa"/>
        <w:numPr>
          <w:ilvl w:val="0"/>
          <w:numId w:val="8"/>
        </w:numPr>
        <w:tabs>
          <w:tab w:val="left" w:pos="1134"/>
        </w:tabs>
        <w:ind w:left="0" w:firstLine="709"/>
        <w:jc w:val="both"/>
        <w:rPr>
          <w:sz w:val="24"/>
          <w:szCs w:val="24"/>
        </w:rPr>
      </w:pPr>
      <w:r w:rsidRPr="00B81EDA">
        <w:rPr>
          <w:sz w:val="24"/>
          <w:szCs w:val="24"/>
        </w:rPr>
        <w:t xml:space="preserve">социальная поддержка граждан с низким уровнем дохода в виде предоставления субсидий на оплату жилого помещения и коммунальных услуг – </w:t>
      </w:r>
      <w:r>
        <w:rPr>
          <w:sz w:val="24"/>
          <w:szCs w:val="24"/>
        </w:rPr>
        <w:t>933657,7</w:t>
      </w:r>
      <w:r w:rsidRPr="00B81EDA">
        <w:rPr>
          <w:sz w:val="24"/>
          <w:szCs w:val="24"/>
        </w:rPr>
        <w:t xml:space="preserve"> тыс. рублей, исполнение за 201</w:t>
      </w:r>
      <w:r>
        <w:rPr>
          <w:sz w:val="24"/>
          <w:szCs w:val="24"/>
        </w:rPr>
        <w:t>7</w:t>
      </w:r>
      <w:r w:rsidRPr="00B81EDA">
        <w:rPr>
          <w:sz w:val="24"/>
          <w:szCs w:val="24"/>
        </w:rPr>
        <w:t xml:space="preserve"> год – </w:t>
      </w:r>
      <w:r>
        <w:rPr>
          <w:sz w:val="24"/>
          <w:szCs w:val="24"/>
        </w:rPr>
        <w:t>927936,3</w:t>
      </w:r>
      <w:r w:rsidRPr="00B81EDA">
        <w:rPr>
          <w:sz w:val="24"/>
          <w:szCs w:val="24"/>
        </w:rPr>
        <w:t xml:space="preserve"> тыс. рублей, или 99,</w:t>
      </w:r>
      <w:r>
        <w:rPr>
          <w:sz w:val="24"/>
          <w:szCs w:val="24"/>
        </w:rPr>
        <w:t>4</w:t>
      </w:r>
      <w:r w:rsidRPr="00B81EDA">
        <w:rPr>
          <w:sz w:val="24"/>
          <w:szCs w:val="24"/>
        </w:rPr>
        <w:t xml:space="preserve"> процента плановых назначений;</w:t>
      </w:r>
    </w:p>
    <w:p w:rsidR="009C45F8" w:rsidRPr="00B81EDA" w:rsidRDefault="009C45F8" w:rsidP="00124114">
      <w:pPr>
        <w:pStyle w:val="afa"/>
        <w:numPr>
          <w:ilvl w:val="0"/>
          <w:numId w:val="8"/>
        </w:numPr>
        <w:tabs>
          <w:tab w:val="left" w:pos="1134"/>
        </w:tabs>
        <w:ind w:left="0" w:firstLine="709"/>
        <w:jc w:val="both"/>
        <w:rPr>
          <w:sz w:val="24"/>
          <w:szCs w:val="24"/>
        </w:rPr>
      </w:pPr>
      <w:r w:rsidRPr="00B81EDA">
        <w:rPr>
          <w:sz w:val="24"/>
          <w:szCs w:val="24"/>
        </w:rPr>
        <w:t xml:space="preserve">оплата жилищно-коммунальных услуг отдельным категориям граждан (средства федерального бюджета)  – </w:t>
      </w:r>
      <w:r>
        <w:rPr>
          <w:sz w:val="24"/>
          <w:szCs w:val="24"/>
        </w:rPr>
        <w:t>717614,2</w:t>
      </w:r>
      <w:r w:rsidRPr="00B81EDA">
        <w:rPr>
          <w:sz w:val="24"/>
          <w:szCs w:val="24"/>
        </w:rPr>
        <w:t xml:space="preserve"> тыс. рублей, исполнение – </w:t>
      </w:r>
      <w:r>
        <w:rPr>
          <w:sz w:val="24"/>
          <w:szCs w:val="24"/>
        </w:rPr>
        <w:t>695176,0</w:t>
      </w:r>
      <w:r w:rsidRPr="00B81EDA">
        <w:rPr>
          <w:sz w:val="24"/>
          <w:szCs w:val="24"/>
        </w:rPr>
        <w:t xml:space="preserve"> тыс. рублей, или 9</w:t>
      </w:r>
      <w:r>
        <w:rPr>
          <w:sz w:val="24"/>
          <w:szCs w:val="24"/>
        </w:rPr>
        <w:t>6</w:t>
      </w:r>
      <w:r w:rsidRPr="00B81EDA">
        <w:rPr>
          <w:sz w:val="24"/>
          <w:szCs w:val="24"/>
        </w:rPr>
        <w:t>,</w:t>
      </w:r>
      <w:r>
        <w:rPr>
          <w:sz w:val="24"/>
          <w:szCs w:val="24"/>
        </w:rPr>
        <w:t>9</w:t>
      </w:r>
      <w:r w:rsidRPr="00B81EDA">
        <w:rPr>
          <w:sz w:val="24"/>
          <w:szCs w:val="24"/>
        </w:rPr>
        <w:t xml:space="preserve"> процента;</w:t>
      </w:r>
    </w:p>
    <w:p w:rsidR="009C45F8" w:rsidRPr="00B81EDA" w:rsidRDefault="009C45F8" w:rsidP="00124114">
      <w:pPr>
        <w:pStyle w:val="afa"/>
        <w:numPr>
          <w:ilvl w:val="0"/>
          <w:numId w:val="8"/>
        </w:numPr>
        <w:tabs>
          <w:tab w:val="left" w:pos="1134"/>
        </w:tabs>
        <w:ind w:left="0" w:firstLine="709"/>
        <w:jc w:val="both"/>
        <w:rPr>
          <w:sz w:val="24"/>
          <w:szCs w:val="24"/>
        </w:rPr>
      </w:pPr>
      <w:r w:rsidRPr="00B81EDA">
        <w:rPr>
          <w:sz w:val="24"/>
          <w:szCs w:val="24"/>
        </w:rPr>
        <w:t xml:space="preserve">социальная поддержка специалистов государственных и муниципальных организаций, учреждений, проживающих и работающих в сельской местности, поселках городского типа (рабочих поселках), а также пенсионеров из их числа – </w:t>
      </w:r>
      <w:r>
        <w:rPr>
          <w:sz w:val="24"/>
          <w:szCs w:val="24"/>
        </w:rPr>
        <w:t>639839,8</w:t>
      </w:r>
      <w:r w:rsidRPr="00B81EDA">
        <w:rPr>
          <w:sz w:val="24"/>
          <w:szCs w:val="24"/>
        </w:rPr>
        <w:t xml:space="preserve"> тыс. рублей, исполнение – </w:t>
      </w:r>
      <w:r>
        <w:rPr>
          <w:sz w:val="24"/>
          <w:szCs w:val="24"/>
        </w:rPr>
        <w:t>637385,7</w:t>
      </w:r>
      <w:r w:rsidRPr="00B81EDA">
        <w:rPr>
          <w:sz w:val="24"/>
          <w:szCs w:val="24"/>
        </w:rPr>
        <w:t xml:space="preserve"> тыс. рублей, или 99,</w:t>
      </w:r>
      <w:r>
        <w:rPr>
          <w:sz w:val="24"/>
          <w:szCs w:val="24"/>
        </w:rPr>
        <w:t>6</w:t>
      </w:r>
      <w:r w:rsidRPr="00B81EDA">
        <w:rPr>
          <w:sz w:val="24"/>
          <w:szCs w:val="24"/>
        </w:rPr>
        <w:t xml:space="preserve"> процента;</w:t>
      </w:r>
    </w:p>
    <w:p w:rsidR="009C45F8" w:rsidRPr="00B81EDA" w:rsidRDefault="009C45F8" w:rsidP="00124114">
      <w:pPr>
        <w:pStyle w:val="afa"/>
        <w:numPr>
          <w:ilvl w:val="0"/>
          <w:numId w:val="8"/>
        </w:numPr>
        <w:tabs>
          <w:tab w:val="left" w:pos="1134"/>
        </w:tabs>
        <w:ind w:left="0" w:firstLine="709"/>
        <w:jc w:val="both"/>
        <w:rPr>
          <w:sz w:val="24"/>
          <w:szCs w:val="24"/>
        </w:rPr>
      </w:pPr>
      <w:r>
        <w:rPr>
          <w:sz w:val="24"/>
          <w:szCs w:val="24"/>
        </w:rPr>
        <w:t xml:space="preserve">социальная поддержка по </w:t>
      </w:r>
      <w:r w:rsidRPr="00B81EDA">
        <w:rPr>
          <w:sz w:val="24"/>
          <w:szCs w:val="24"/>
        </w:rPr>
        <w:t>оплат</w:t>
      </w:r>
      <w:r>
        <w:rPr>
          <w:sz w:val="24"/>
          <w:szCs w:val="24"/>
        </w:rPr>
        <w:t>е</w:t>
      </w:r>
      <w:r w:rsidRPr="00B81EDA">
        <w:rPr>
          <w:sz w:val="24"/>
          <w:szCs w:val="24"/>
        </w:rPr>
        <w:t xml:space="preserve"> жилого помещения и коммунальных услуг ветеранов труда – </w:t>
      </w:r>
      <w:r>
        <w:rPr>
          <w:sz w:val="24"/>
          <w:szCs w:val="24"/>
        </w:rPr>
        <w:t>611377,7</w:t>
      </w:r>
      <w:r w:rsidRPr="00B81EDA">
        <w:rPr>
          <w:sz w:val="24"/>
          <w:szCs w:val="24"/>
        </w:rPr>
        <w:t xml:space="preserve"> тыс. рублей, исполнение – </w:t>
      </w:r>
      <w:r>
        <w:rPr>
          <w:sz w:val="24"/>
          <w:szCs w:val="24"/>
        </w:rPr>
        <w:t>608024,6</w:t>
      </w:r>
      <w:r w:rsidRPr="00B81EDA">
        <w:rPr>
          <w:sz w:val="24"/>
          <w:szCs w:val="24"/>
        </w:rPr>
        <w:t xml:space="preserve"> тыс. рублей, или </w:t>
      </w:r>
      <w:r w:rsidRPr="00B81EDA">
        <w:rPr>
          <w:sz w:val="24"/>
          <w:szCs w:val="24"/>
        </w:rPr>
        <w:br/>
        <w:t>99,</w:t>
      </w:r>
      <w:r>
        <w:rPr>
          <w:sz w:val="24"/>
          <w:szCs w:val="24"/>
        </w:rPr>
        <w:t>5</w:t>
      </w:r>
      <w:r w:rsidRPr="00B81EDA">
        <w:rPr>
          <w:sz w:val="24"/>
          <w:szCs w:val="24"/>
        </w:rPr>
        <w:t xml:space="preserve"> процента;</w:t>
      </w:r>
    </w:p>
    <w:p w:rsidR="009C45F8" w:rsidRPr="00B81EDA" w:rsidRDefault="009C45F8" w:rsidP="00124114">
      <w:pPr>
        <w:pStyle w:val="afa"/>
        <w:numPr>
          <w:ilvl w:val="0"/>
          <w:numId w:val="8"/>
        </w:numPr>
        <w:tabs>
          <w:tab w:val="left" w:pos="1134"/>
        </w:tabs>
        <w:ind w:left="0" w:firstLine="709"/>
        <w:jc w:val="both"/>
        <w:rPr>
          <w:sz w:val="24"/>
          <w:szCs w:val="24"/>
        </w:rPr>
      </w:pPr>
      <w:r w:rsidRPr="00B81EDA">
        <w:rPr>
          <w:sz w:val="24"/>
          <w:szCs w:val="24"/>
        </w:rPr>
        <w:t xml:space="preserve">ежемесячная денежная выплата ветеранам труда, труженикам тыла, детям </w:t>
      </w:r>
      <w:r>
        <w:rPr>
          <w:sz w:val="24"/>
          <w:szCs w:val="24"/>
        </w:rPr>
        <w:br/>
      </w:r>
      <w:r w:rsidRPr="00B81EDA">
        <w:rPr>
          <w:sz w:val="24"/>
          <w:szCs w:val="24"/>
        </w:rPr>
        <w:t xml:space="preserve">войны – </w:t>
      </w:r>
      <w:r>
        <w:rPr>
          <w:sz w:val="24"/>
          <w:szCs w:val="24"/>
        </w:rPr>
        <w:t xml:space="preserve">390595,1 </w:t>
      </w:r>
      <w:r w:rsidRPr="00B81EDA">
        <w:rPr>
          <w:sz w:val="24"/>
          <w:szCs w:val="24"/>
        </w:rPr>
        <w:t>тыс. рублей, исполнение –</w:t>
      </w:r>
      <w:r>
        <w:rPr>
          <w:sz w:val="24"/>
          <w:szCs w:val="24"/>
        </w:rPr>
        <w:t xml:space="preserve"> 390504,2</w:t>
      </w:r>
      <w:r w:rsidRPr="00B81EDA">
        <w:rPr>
          <w:sz w:val="24"/>
          <w:szCs w:val="24"/>
        </w:rPr>
        <w:t xml:space="preserve"> тыс. рублей, или 99,9 процента;</w:t>
      </w:r>
    </w:p>
    <w:p w:rsidR="009C45F8" w:rsidRDefault="009C45F8" w:rsidP="00124114">
      <w:pPr>
        <w:pStyle w:val="afa"/>
        <w:numPr>
          <w:ilvl w:val="0"/>
          <w:numId w:val="8"/>
        </w:numPr>
        <w:tabs>
          <w:tab w:val="left" w:pos="1134"/>
        </w:tabs>
        <w:ind w:left="0" w:firstLine="709"/>
        <w:jc w:val="both"/>
        <w:rPr>
          <w:sz w:val="24"/>
          <w:szCs w:val="24"/>
        </w:rPr>
      </w:pPr>
      <w:r w:rsidRPr="00B81EDA">
        <w:rPr>
          <w:sz w:val="24"/>
          <w:szCs w:val="24"/>
        </w:rPr>
        <w:t xml:space="preserve">обеспечение равной доступности услуг общественного транспорта на территории Амурской области для отдельных категорий граждан – </w:t>
      </w:r>
      <w:r>
        <w:rPr>
          <w:sz w:val="24"/>
          <w:szCs w:val="24"/>
        </w:rPr>
        <w:t>320417,1</w:t>
      </w:r>
      <w:r w:rsidRPr="00B81EDA">
        <w:rPr>
          <w:sz w:val="24"/>
          <w:szCs w:val="24"/>
        </w:rPr>
        <w:t xml:space="preserve"> тыс. рублей, исполнение – </w:t>
      </w:r>
      <w:r>
        <w:rPr>
          <w:sz w:val="24"/>
          <w:szCs w:val="24"/>
        </w:rPr>
        <w:t>319093,5</w:t>
      </w:r>
      <w:r w:rsidRPr="00B81EDA">
        <w:rPr>
          <w:sz w:val="24"/>
          <w:szCs w:val="24"/>
        </w:rPr>
        <w:t xml:space="preserve"> тыс. рублей, или 9</w:t>
      </w:r>
      <w:r>
        <w:rPr>
          <w:sz w:val="24"/>
          <w:szCs w:val="24"/>
        </w:rPr>
        <w:t>9</w:t>
      </w:r>
      <w:r w:rsidRPr="00B81EDA">
        <w:rPr>
          <w:sz w:val="24"/>
          <w:szCs w:val="24"/>
        </w:rPr>
        <w:t>,</w:t>
      </w:r>
      <w:r>
        <w:rPr>
          <w:sz w:val="24"/>
          <w:szCs w:val="24"/>
        </w:rPr>
        <w:t>6</w:t>
      </w:r>
      <w:r w:rsidRPr="00B81EDA">
        <w:rPr>
          <w:sz w:val="24"/>
          <w:szCs w:val="24"/>
        </w:rPr>
        <w:t xml:space="preserve"> процента.</w:t>
      </w:r>
    </w:p>
    <w:p w:rsidR="009C45F8" w:rsidRPr="001A299F" w:rsidRDefault="009C45F8" w:rsidP="00F27828">
      <w:pPr>
        <w:widowControl w:val="0"/>
        <w:tabs>
          <w:tab w:val="left" w:pos="993"/>
        </w:tabs>
        <w:autoSpaceDE w:val="0"/>
        <w:autoSpaceDN w:val="0"/>
        <w:adjustRightInd w:val="0"/>
        <w:spacing w:before="120" w:after="0" w:line="240" w:lineRule="auto"/>
        <w:ind w:left="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«Реабилитация и обеспечение жизнедеятельности инвалидов в Амурской области»</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«Реабилитация и обеспечение жизнедеятельности инвалидов в Амурской области» утверждены в сумме </w:t>
      </w:r>
      <w:r>
        <w:rPr>
          <w:rFonts w:ascii="Times New Roman" w:hAnsi="Times New Roman" w:cs="Times New Roman"/>
          <w:sz w:val="24"/>
          <w:szCs w:val="24"/>
        </w:rPr>
        <w:t>43339,1</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0</w:t>
      </w:r>
      <w:r w:rsidRPr="001A299F">
        <w:rPr>
          <w:rFonts w:ascii="Times New Roman" w:hAnsi="Times New Roman" w:cs="Times New Roman"/>
          <w:sz w:val="24"/>
          <w:szCs w:val="24"/>
        </w:rPr>
        <w:t>,</w:t>
      </w:r>
      <w:r>
        <w:rPr>
          <w:rFonts w:ascii="Times New Roman" w:hAnsi="Times New Roman" w:cs="Times New Roman"/>
          <w:sz w:val="24"/>
          <w:szCs w:val="24"/>
        </w:rPr>
        <w:t>5</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процента плановых назначений.</w:t>
      </w:r>
    </w:p>
    <w:p w:rsidR="009C45F8" w:rsidRPr="001A299F" w:rsidRDefault="009C45F8" w:rsidP="009C45F8">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9C45F8" w:rsidRPr="00B81EDA" w:rsidRDefault="009C45F8" w:rsidP="00124114">
      <w:pPr>
        <w:pStyle w:val="afa"/>
        <w:numPr>
          <w:ilvl w:val="0"/>
          <w:numId w:val="9"/>
        </w:numPr>
        <w:ind w:left="0" w:firstLine="426"/>
        <w:jc w:val="both"/>
        <w:rPr>
          <w:i/>
          <w:sz w:val="24"/>
          <w:szCs w:val="24"/>
        </w:rPr>
      </w:pPr>
      <w:r w:rsidRPr="00B81EDA">
        <w:rPr>
          <w:sz w:val="24"/>
          <w:szCs w:val="24"/>
        </w:rPr>
        <w:t>мероприятия государственной программы Российской Федерации «Доступная среда» на 2011-20</w:t>
      </w:r>
      <w:r>
        <w:rPr>
          <w:sz w:val="24"/>
          <w:szCs w:val="24"/>
        </w:rPr>
        <w:t>20</w:t>
      </w:r>
      <w:r w:rsidRPr="00B81EDA">
        <w:rPr>
          <w:sz w:val="24"/>
          <w:szCs w:val="24"/>
        </w:rPr>
        <w:t xml:space="preserve"> годы – </w:t>
      </w:r>
      <w:r>
        <w:rPr>
          <w:sz w:val="24"/>
          <w:szCs w:val="24"/>
        </w:rPr>
        <w:t>30320,6</w:t>
      </w:r>
      <w:r w:rsidRPr="00B81EDA">
        <w:rPr>
          <w:sz w:val="24"/>
          <w:szCs w:val="24"/>
        </w:rPr>
        <w:t xml:space="preserve"> тыс. рублей, исполнение – </w:t>
      </w:r>
      <w:r>
        <w:rPr>
          <w:sz w:val="24"/>
          <w:szCs w:val="24"/>
        </w:rPr>
        <w:t>30320,6</w:t>
      </w:r>
      <w:r w:rsidRPr="00B81EDA">
        <w:rPr>
          <w:sz w:val="24"/>
          <w:szCs w:val="24"/>
        </w:rPr>
        <w:t xml:space="preserve"> тыс. рублей, или </w:t>
      </w:r>
      <w:r>
        <w:rPr>
          <w:sz w:val="24"/>
          <w:szCs w:val="24"/>
        </w:rPr>
        <w:br/>
        <w:t>100,0</w:t>
      </w:r>
      <w:r w:rsidRPr="00B81EDA">
        <w:rPr>
          <w:sz w:val="24"/>
          <w:szCs w:val="24"/>
        </w:rPr>
        <w:t xml:space="preserve"> процент</w:t>
      </w:r>
      <w:r>
        <w:rPr>
          <w:sz w:val="24"/>
          <w:szCs w:val="24"/>
        </w:rPr>
        <w:t>ов плановых назначений</w:t>
      </w:r>
      <w:r w:rsidRPr="00B81EDA">
        <w:rPr>
          <w:sz w:val="24"/>
          <w:szCs w:val="24"/>
        </w:rPr>
        <w:t xml:space="preserve">, в том числе объем межбюджетных трансфертов, переданных бюджетам муниципальных образований области, составляет </w:t>
      </w:r>
      <w:r>
        <w:rPr>
          <w:sz w:val="24"/>
          <w:szCs w:val="24"/>
        </w:rPr>
        <w:t xml:space="preserve">17751,1 </w:t>
      </w:r>
      <w:r w:rsidRPr="00B81EDA">
        <w:rPr>
          <w:sz w:val="24"/>
          <w:szCs w:val="24"/>
        </w:rPr>
        <w:t>тыс. рублей.</w:t>
      </w:r>
    </w:p>
    <w:p w:rsidR="009C45F8" w:rsidRDefault="009C45F8" w:rsidP="00124114">
      <w:pPr>
        <w:pStyle w:val="afa"/>
        <w:numPr>
          <w:ilvl w:val="0"/>
          <w:numId w:val="9"/>
        </w:numPr>
        <w:ind w:left="0" w:firstLine="426"/>
        <w:jc w:val="both"/>
        <w:rPr>
          <w:sz w:val="24"/>
          <w:szCs w:val="24"/>
        </w:rPr>
      </w:pPr>
      <w:r>
        <w:rPr>
          <w:sz w:val="24"/>
          <w:szCs w:val="24"/>
        </w:rPr>
        <w:t>социальная поддержка лиц, по медицинским показаниям нуждающихся в оказании протезно-ортопедической помощи – 5934,2 тыс. рублей, исполнение – 5934,2 тыс. рублей, или 100,0 процентов плановых назначений</w:t>
      </w:r>
      <w:r w:rsidRPr="0071766B">
        <w:rPr>
          <w:sz w:val="24"/>
          <w:szCs w:val="24"/>
        </w:rPr>
        <w:t>;</w:t>
      </w:r>
    </w:p>
    <w:p w:rsidR="009C45F8" w:rsidRPr="00EC3030" w:rsidRDefault="009C45F8" w:rsidP="00124114">
      <w:pPr>
        <w:pStyle w:val="afa"/>
        <w:numPr>
          <w:ilvl w:val="0"/>
          <w:numId w:val="9"/>
        </w:numPr>
        <w:ind w:left="0" w:firstLine="426"/>
        <w:jc w:val="both"/>
        <w:rPr>
          <w:i/>
          <w:sz w:val="24"/>
          <w:szCs w:val="24"/>
        </w:rPr>
      </w:pPr>
      <w:r w:rsidRPr="0071766B">
        <w:rPr>
          <w:sz w:val="24"/>
          <w:szCs w:val="24"/>
        </w:rPr>
        <w:t xml:space="preserve">предоставление социальной выплаты на проезд к месту лечения и обратно больным с терминальной хронической почечной недостаточностью, мукополисахаридозом, лимфолейкозом – </w:t>
      </w:r>
      <w:r>
        <w:rPr>
          <w:sz w:val="24"/>
          <w:szCs w:val="24"/>
        </w:rPr>
        <w:t>5059,3</w:t>
      </w:r>
      <w:r w:rsidRPr="0071766B">
        <w:rPr>
          <w:sz w:val="24"/>
          <w:szCs w:val="24"/>
        </w:rPr>
        <w:t xml:space="preserve"> тыс. рублей, исполнение – </w:t>
      </w:r>
      <w:r>
        <w:rPr>
          <w:sz w:val="24"/>
          <w:szCs w:val="24"/>
        </w:rPr>
        <w:t>5050,0</w:t>
      </w:r>
      <w:r w:rsidRPr="0071766B">
        <w:rPr>
          <w:sz w:val="24"/>
          <w:szCs w:val="24"/>
        </w:rPr>
        <w:t xml:space="preserve"> тыс</w:t>
      </w:r>
      <w:r>
        <w:rPr>
          <w:sz w:val="24"/>
          <w:szCs w:val="24"/>
        </w:rPr>
        <w:t xml:space="preserve">. рублей, или </w:t>
      </w:r>
      <w:r>
        <w:rPr>
          <w:sz w:val="24"/>
          <w:szCs w:val="24"/>
        </w:rPr>
        <w:br/>
        <w:t>99,8 процента плановых назначений.</w:t>
      </w:r>
    </w:p>
    <w:p w:rsidR="009C45F8" w:rsidRPr="001A299F" w:rsidRDefault="009C45F8" w:rsidP="00F27828">
      <w:pPr>
        <w:widowControl w:val="0"/>
        <w:autoSpaceDE w:val="0"/>
        <w:autoSpaceDN w:val="0"/>
        <w:adjustRightInd w:val="0"/>
        <w:spacing w:before="120" w:after="0" w:line="240" w:lineRule="auto"/>
        <w:ind w:left="709"/>
        <w:contextualSpacing/>
        <w:jc w:val="center"/>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области в сфере социальной защиты населения Амурской области»</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области в сфере социальной защиты населения  Амурской области» утверждены в сумме </w:t>
      </w:r>
      <w:r>
        <w:rPr>
          <w:rFonts w:ascii="Times New Roman" w:hAnsi="Times New Roman" w:cs="Times New Roman"/>
          <w:sz w:val="24"/>
          <w:szCs w:val="24"/>
        </w:rPr>
        <w:t>56565,8</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0,</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 xml:space="preserve"> плановых назначений.</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По данной подпрограмме осуществлялось финансирование расходов на обеспечение функций исполнительных органов государственной власти.</w:t>
      </w:r>
    </w:p>
    <w:p w:rsidR="009C45F8" w:rsidRPr="00F27828"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Основные направления исполнения расходов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Развитие системы социальной защиты населения Амурской области на 2014-2020 гг.» представлены </w:t>
      </w:r>
      <w:r w:rsidRPr="00F27828">
        <w:rPr>
          <w:rFonts w:ascii="Times New Roman" w:eastAsia="Times New Roman" w:hAnsi="Times New Roman" w:cs="Times New Roman"/>
          <w:sz w:val="24"/>
          <w:szCs w:val="24"/>
          <w:lang w:eastAsia="ru-RU"/>
        </w:rPr>
        <w:t>на рисунке 2</w:t>
      </w:r>
      <w:r w:rsidR="00F27828" w:rsidRPr="00F27828">
        <w:rPr>
          <w:rFonts w:ascii="Times New Roman" w:eastAsia="Times New Roman" w:hAnsi="Times New Roman" w:cs="Times New Roman"/>
          <w:sz w:val="24"/>
          <w:szCs w:val="24"/>
          <w:lang w:eastAsia="ru-RU"/>
        </w:rPr>
        <w:t>2</w:t>
      </w:r>
      <w:r w:rsidRPr="00F27828">
        <w:rPr>
          <w:rFonts w:ascii="Times New Roman" w:eastAsia="Times New Roman" w:hAnsi="Times New Roman" w:cs="Times New Roman"/>
          <w:sz w:val="24"/>
          <w:szCs w:val="24"/>
          <w:lang w:eastAsia="ru-RU"/>
        </w:rPr>
        <w:t>.</w:t>
      </w:r>
    </w:p>
    <w:p w:rsidR="009C45F8" w:rsidRPr="00F27828" w:rsidRDefault="009C45F8" w:rsidP="009C45F8">
      <w:pPr>
        <w:spacing w:after="0" w:line="240" w:lineRule="auto"/>
        <w:ind w:firstLine="709"/>
        <w:jc w:val="both"/>
        <w:rPr>
          <w:rFonts w:ascii="Times New Roman" w:hAnsi="Times New Roman" w:cs="Times New Roman"/>
          <w:sz w:val="24"/>
          <w:szCs w:val="24"/>
        </w:rPr>
      </w:pPr>
    </w:p>
    <w:p w:rsidR="009C45F8" w:rsidRPr="001A299F" w:rsidRDefault="009C45F8" w:rsidP="005A6E37">
      <w:pPr>
        <w:spacing w:after="0" w:line="240" w:lineRule="auto"/>
        <w:ind w:firstLine="284"/>
        <w:jc w:val="both"/>
        <w:rPr>
          <w:rFonts w:ascii="Times New Roman" w:hAnsi="Times New Roman" w:cs="Times New Roman"/>
          <w:b/>
          <w:sz w:val="24"/>
          <w:szCs w:val="24"/>
        </w:rPr>
      </w:pPr>
      <w:r w:rsidRPr="001A299F">
        <w:rPr>
          <w:rFonts w:ascii="Times New Roman" w:hAnsi="Times New Roman" w:cs="Times New Roman"/>
          <w:noProof/>
          <w:sz w:val="24"/>
          <w:szCs w:val="24"/>
          <w:lang w:eastAsia="ru-RU"/>
        </w:rPr>
        <w:drawing>
          <wp:inline distT="0" distB="0" distL="0" distR="0" wp14:anchorId="387DDBCA" wp14:editId="4F65B424">
            <wp:extent cx="5962650" cy="48672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27828">
        <w:rPr>
          <w:rFonts w:ascii="Times New Roman" w:hAnsi="Times New Roman" w:cs="Times New Roman"/>
          <w:b/>
          <w:sz w:val="24"/>
          <w:szCs w:val="24"/>
        </w:rPr>
        <w:t>Рис. 2</w:t>
      </w:r>
      <w:r w:rsidR="00F27828" w:rsidRPr="00F27828">
        <w:rPr>
          <w:rFonts w:ascii="Times New Roman" w:hAnsi="Times New Roman" w:cs="Times New Roman"/>
          <w:b/>
          <w:sz w:val="24"/>
          <w:szCs w:val="24"/>
        </w:rPr>
        <w:t>2</w:t>
      </w:r>
      <w:r w:rsidRPr="00F27828">
        <w:rPr>
          <w:rFonts w:ascii="Times New Roman" w:hAnsi="Times New Roman" w:cs="Times New Roman"/>
          <w:b/>
          <w:sz w:val="24"/>
          <w:szCs w:val="24"/>
        </w:rPr>
        <w:t xml:space="preserve"> - </w:t>
      </w:r>
      <w:r w:rsidRPr="001A299F">
        <w:rPr>
          <w:rFonts w:ascii="Times New Roman" w:hAnsi="Times New Roman" w:cs="Times New Roman"/>
          <w:b/>
          <w:sz w:val="24"/>
          <w:szCs w:val="24"/>
        </w:rPr>
        <w:t>Основные направления исполнения расходов областного бюджета за</w:t>
      </w:r>
      <w:r w:rsidRPr="001A299F">
        <w:rPr>
          <w:rFonts w:ascii="Times New Roman" w:hAnsi="Times New Roman" w:cs="Times New Roman"/>
          <w:b/>
          <w:sz w:val="24"/>
          <w:szCs w:val="24"/>
        </w:rPr>
        <w:br/>
        <w:t>201</w:t>
      </w:r>
      <w:r>
        <w:rPr>
          <w:rFonts w:ascii="Times New Roman" w:hAnsi="Times New Roman" w:cs="Times New Roman"/>
          <w:b/>
          <w:sz w:val="24"/>
          <w:szCs w:val="24"/>
        </w:rPr>
        <w:t>7</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Развитие системы социальной защиты населения Амурской области на 2014-2020 гг.», млн. руб.</w:t>
      </w:r>
    </w:p>
    <w:p w:rsidR="009C45F8"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«Развитие системы социальной защиты населения Амурской области на 2014-2020 гг.»</w:t>
      </w:r>
      <w:r w:rsidRPr="001A299F">
        <w:rPr>
          <w:rFonts w:ascii="Times New Roman" w:hAnsi="Times New Roman" w:cs="Times New Roman"/>
          <w:sz w:val="24"/>
          <w:szCs w:val="24"/>
        </w:rPr>
        <w:t xml:space="preserve"> отражены в разрезе подпрограмм и мероприятий в объемах, утвержденных сводной бюджетной росписью на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 государственной программе</w:t>
      </w:r>
      <w:r w:rsidRPr="001A299F">
        <w:rPr>
          <w:rFonts w:ascii="Times New Roman" w:eastAsia="Times New Roman" w:hAnsi="Times New Roman" w:cs="Times New Roman"/>
          <w:sz w:val="24"/>
          <w:szCs w:val="24"/>
          <w:lang w:eastAsia="ru-RU"/>
        </w:rPr>
        <w:t xml:space="preserve"> «Развитие системы социальной защиты населения Амурской области на 2014-2020 гг.»</w:t>
      </w:r>
      <w:r>
        <w:rPr>
          <w:rFonts w:ascii="Times New Roman" w:eastAsia="Times New Roman" w:hAnsi="Times New Roman" w:cs="Times New Roman"/>
          <w:sz w:val="24"/>
          <w:szCs w:val="24"/>
          <w:lang w:eastAsia="ru-RU"/>
        </w:rPr>
        <w:t xml:space="preserve"> в 2016 по установленным показателям (индикаторам) эффективности подпрограмм государственной программы, в основном, наблюдается выполнение, а также перевыполнение показателей (индикаторов) эффективности. Вместе с тем,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w:t>
      </w:r>
      <w:r w:rsidRPr="00495903">
        <w:rPr>
          <w:rFonts w:ascii="Times New Roman" w:eastAsia="Times New Roman" w:hAnsi="Times New Roman" w:cs="Times New Roman"/>
          <w:sz w:val="24"/>
          <w:szCs w:val="24"/>
          <w:lang w:eastAsia="ru-RU"/>
        </w:rPr>
        <w:t>:</w:t>
      </w:r>
    </w:p>
    <w:p w:rsidR="009C45F8" w:rsidRDefault="009C45F8" w:rsidP="00124114">
      <w:pPr>
        <w:pStyle w:val="afa"/>
        <w:numPr>
          <w:ilvl w:val="0"/>
          <w:numId w:val="15"/>
        </w:numPr>
        <w:tabs>
          <w:tab w:val="left" w:pos="993"/>
        </w:tabs>
        <w:ind w:left="0" w:firstLine="709"/>
        <w:jc w:val="both"/>
        <w:rPr>
          <w:sz w:val="24"/>
          <w:szCs w:val="24"/>
        </w:rPr>
      </w:pPr>
      <w:r w:rsidRPr="00D12F30">
        <w:rPr>
          <w:sz w:val="24"/>
          <w:szCs w:val="24"/>
        </w:rPr>
        <w:t>Численность самовольно ушедших детей, возвращенных в семьи, детские дома, школы-интернаты, специальные учебно-воспитательные учреждения</w:t>
      </w:r>
      <w:r>
        <w:rPr>
          <w:sz w:val="24"/>
          <w:szCs w:val="24"/>
        </w:rPr>
        <w:t xml:space="preserve"> – уровень достижения </w:t>
      </w:r>
      <w:r>
        <w:rPr>
          <w:sz w:val="24"/>
          <w:szCs w:val="24"/>
        </w:rPr>
        <w:lastRenderedPageBreak/>
        <w:t xml:space="preserve">показателя составляет 20,0 процентов (плановый показатель - 5 человек, фактически достигнутый показатель – 1 человек, перевозка осуществляется при возникновении необходимости).  </w:t>
      </w:r>
    </w:p>
    <w:p w:rsidR="009C45F8" w:rsidRDefault="009C45F8" w:rsidP="00124114">
      <w:pPr>
        <w:pStyle w:val="afa"/>
        <w:numPr>
          <w:ilvl w:val="0"/>
          <w:numId w:val="15"/>
        </w:numPr>
        <w:tabs>
          <w:tab w:val="left" w:pos="993"/>
        </w:tabs>
        <w:ind w:left="0" w:firstLine="709"/>
        <w:jc w:val="both"/>
        <w:rPr>
          <w:sz w:val="24"/>
          <w:szCs w:val="24"/>
        </w:rPr>
      </w:pPr>
      <w:r w:rsidRPr="008C4FEE">
        <w:rPr>
          <w:sz w:val="24"/>
          <w:szCs w:val="24"/>
        </w:rPr>
        <w:t>Количество опекаемых детей, приемных родителей, получающих вознаграждение</w:t>
      </w:r>
      <w:r>
        <w:rPr>
          <w:sz w:val="24"/>
          <w:szCs w:val="24"/>
        </w:rPr>
        <w:t xml:space="preserve"> – уровень достижения показателя составляет 96,5 процента (дети), плановый показатель -  </w:t>
      </w:r>
      <w:r>
        <w:rPr>
          <w:sz w:val="24"/>
          <w:szCs w:val="24"/>
        </w:rPr>
        <w:br/>
        <w:t>4321 человек, фактически достигнутый показатель –4010 человек (выплата осуществ</w:t>
      </w:r>
      <w:r w:rsidR="005A6E37">
        <w:rPr>
          <w:sz w:val="24"/>
          <w:szCs w:val="24"/>
        </w:rPr>
        <w:t>ляется по заявлениям граждан).</w:t>
      </w:r>
    </w:p>
    <w:p w:rsidR="009C45F8" w:rsidRPr="00BA1A9C" w:rsidRDefault="009C45F8" w:rsidP="00124114">
      <w:pPr>
        <w:pStyle w:val="afa"/>
        <w:numPr>
          <w:ilvl w:val="0"/>
          <w:numId w:val="15"/>
        </w:numPr>
        <w:tabs>
          <w:tab w:val="left" w:pos="993"/>
        </w:tabs>
        <w:ind w:left="0" w:firstLine="709"/>
        <w:jc w:val="both"/>
        <w:rPr>
          <w:sz w:val="24"/>
          <w:szCs w:val="24"/>
        </w:rPr>
      </w:pPr>
      <w:proofErr w:type="gramStart"/>
      <w:r w:rsidRPr="00BA1A9C">
        <w:rPr>
          <w:sz w:val="24"/>
          <w:szCs w:val="24"/>
        </w:rPr>
        <w:t>Численность граждан, получивших меры социальной поддержки в рамках реализации мероприятия</w:t>
      </w:r>
      <w:r>
        <w:rPr>
          <w:sz w:val="24"/>
          <w:szCs w:val="24"/>
        </w:rPr>
        <w:t xml:space="preserve"> - в</w:t>
      </w:r>
      <w:r w:rsidRPr="00BA1A9C">
        <w:rPr>
          <w:sz w:val="24"/>
          <w:szCs w:val="24"/>
        </w:rPr>
        <w:t xml:space="preserve">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4"/>
          <w:szCs w:val="24"/>
        </w:rPr>
        <w:t>«</w:t>
      </w:r>
      <w:r w:rsidRPr="00BA1A9C">
        <w:rPr>
          <w:sz w:val="24"/>
          <w:szCs w:val="24"/>
        </w:rPr>
        <w:t>О государственных пособиях гражданам, имеющим детей</w:t>
      </w:r>
      <w:r>
        <w:rPr>
          <w:sz w:val="24"/>
          <w:szCs w:val="24"/>
        </w:rPr>
        <w:t>» -</w:t>
      </w:r>
      <w:r>
        <w:rPr>
          <w:color w:val="000000"/>
          <w:sz w:val="24"/>
          <w:szCs w:val="24"/>
        </w:rPr>
        <w:t xml:space="preserve"> уровень достижения показателя составляет 40,0 процентов (плановый показатель – 85 человек</w:t>
      </w:r>
      <w:proofErr w:type="gramEnd"/>
      <w:r>
        <w:rPr>
          <w:color w:val="000000"/>
          <w:sz w:val="24"/>
          <w:szCs w:val="24"/>
        </w:rPr>
        <w:t>, фактически достигнутый показатель – 34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BA1A9C">
        <w:rPr>
          <w:sz w:val="24"/>
          <w:szCs w:val="24"/>
        </w:rPr>
        <w:t>Число детей, оставшихся без попечения родителей, передаваемых на воспитание в семью, обеспеченных единовременным пособием</w:t>
      </w:r>
      <w:r>
        <w:rPr>
          <w:sz w:val="24"/>
          <w:szCs w:val="24"/>
        </w:rPr>
        <w:t xml:space="preserve"> - </w:t>
      </w:r>
      <w:r>
        <w:rPr>
          <w:color w:val="000000"/>
          <w:sz w:val="24"/>
          <w:szCs w:val="24"/>
        </w:rPr>
        <w:t>уровень достижения показателя составляет 94,2 процента (плановый показатель – 605 человек, фактически достигнутый показатель – 570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1147D8">
        <w:rPr>
          <w:color w:val="000000"/>
          <w:sz w:val="24"/>
          <w:szCs w:val="24"/>
        </w:rPr>
        <w:t>Численность граждан, получивших меры социальной поддержки в рамках реализации мероприятия</w:t>
      </w:r>
      <w:r>
        <w:rPr>
          <w:color w:val="000000"/>
          <w:sz w:val="24"/>
          <w:szCs w:val="24"/>
        </w:rPr>
        <w:t xml:space="preserve"> – пособие на ребенка, уровень достижения показателя составляет 96,5 процента (плановый показатель – 60563 человека, фактически достигнутый показатель – 58412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Pr>
          <w:color w:val="000000"/>
          <w:sz w:val="24"/>
          <w:szCs w:val="24"/>
        </w:rPr>
        <w:t xml:space="preserve"> </w:t>
      </w:r>
      <w:r w:rsidRPr="00FC7611">
        <w:rPr>
          <w:color w:val="000000"/>
          <w:sz w:val="24"/>
          <w:szCs w:val="24"/>
        </w:rPr>
        <w:t>Численность граждан, получивших меры социальной поддержки в рамках реализации мероприятия</w:t>
      </w:r>
      <w:r w:rsidRPr="00FC7611">
        <w:t xml:space="preserve"> </w:t>
      </w:r>
      <w:r>
        <w:t>- с</w:t>
      </w:r>
      <w:r w:rsidRPr="00FC7611">
        <w:rPr>
          <w:color w:val="000000"/>
          <w:sz w:val="24"/>
          <w:szCs w:val="24"/>
        </w:rPr>
        <w:t>оциальная поддержка реабилитированных лиц и лиц, признанных пострадавшими от политических репрессий</w:t>
      </w:r>
      <w:r>
        <w:rPr>
          <w:color w:val="000000"/>
          <w:sz w:val="24"/>
          <w:szCs w:val="24"/>
        </w:rPr>
        <w:t xml:space="preserve">, уровень достижения показателя составляет </w:t>
      </w:r>
      <w:r>
        <w:rPr>
          <w:color w:val="000000"/>
          <w:sz w:val="24"/>
          <w:szCs w:val="24"/>
        </w:rPr>
        <w:br/>
        <w:t>89,8  процента (плановый показатель – 1335 человек, фактически достигнутый показатель – 1199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Pr>
          <w:color w:val="000000"/>
          <w:sz w:val="24"/>
          <w:szCs w:val="24"/>
        </w:rPr>
        <w:t xml:space="preserve"> </w:t>
      </w:r>
      <w:r w:rsidRPr="0084525E">
        <w:rPr>
          <w:color w:val="000000"/>
          <w:sz w:val="24"/>
          <w:szCs w:val="24"/>
        </w:rPr>
        <w:t>Численность граждан, получивших меры социальной поддержки в рамках реализации мероприятия</w:t>
      </w:r>
      <w:r>
        <w:rPr>
          <w:color w:val="000000"/>
          <w:sz w:val="24"/>
          <w:szCs w:val="24"/>
        </w:rPr>
        <w:t xml:space="preserve"> - с</w:t>
      </w:r>
      <w:r w:rsidRPr="002D19CE">
        <w:rPr>
          <w:color w:val="000000"/>
          <w:sz w:val="24"/>
          <w:szCs w:val="24"/>
        </w:rPr>
        <w:t>оциальная поддержка по оплате жилого помещения коммунальных услуг ветеранов труда</w:t>
      </w:r>
      <w:r>
        <w:rPr>
          <w:color w:val="000000"/>
          <w:sz w:val="24"/>
          <w:szCs w:val="24"/>
        </w:rPr>
        <w:t xml:space="preserve">, уровень достижения показателя составляет </w:t>
      </w:r>
      <w:r>
        <w:rPr>
          <w:color w:val="000000"/>
          <w:sz w:val="24"/>
          <w:szCs w:val="24"/>
        </w:rPr>
        <w:br/>
        <w:t>98,6  процента (плановый показатель – 45107 человек, фактически достигнутый показатель – 44452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8E300E">
        <w:rPr>
          <w:color w:val="000000"/>
          <w:sz w:val="24"/>
          <w:szCs w:val="24"/>
        </w:rPr>
        <w:t>Количество организованных приемных семей для граждан пожилого возраста и инвалидов (нарастающим итогом)</w:t>
      </w:r>
      <w:r>
        <w:rPr>
          <w:color w:val="000000"/>
          <w:sz w:val="24"/>
          <w:szCs w:val="24"/>
        </w:rPr>
        <w:t xml:space="preserve"> - уровень достижения показателя составляет </w:t>
      </w:r>
      <w:r>
        <w:rPr>
          <w:color w:val="000000"/>
          <w:sz w:val="24"/>
          <w:szCs w:val="24"/>
        </w:rPr>
        <w:br/>
        <w:t xml:space="preserve">52,0  процента (плановый показатель – 50 человек, фактически достигнутый показатель – </w:t>
      </w:r>
      <w:r>
        <w:rPr>
          <w:color w:val="000000"/>
          <w:sz w:val="24"/>
          <w:szCs w:val="24"/>
        </w:rPr>
        <w:br/>
        <w:t>26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8D0C28">
        <w:rPr>
          <w:color w:val="000000"/>
          <w:sz w:val="24"/>
          <w:szCs w:val="24"/>
        </w:rPr>
        <w:t>Численность граждан, получивших меры социальной поддержки в рамках реализации мероприятия</w:t>
      </w:r>
      <w:r>
        <w:rPr>
          <w:color w:val="000000"/>
          <w:sz w:val="24"/>
          <w:szCs w:val="24"/>
        </w:rPr>
        <w:t xml:space="preserve"> - е</w:t>
      </w:r>
      <w:r w:rsidRPr="004276CE">
        <w:rPr>
          <w:color w:val="000000"/>
          <w:sz w:val="24"/>
          <w:szCs w:val="24"/>
        </w:rPr>
        <w:t>жемесячная денежная выплата реабилитированным лицам и лицам, признанным пострадавшими от политических репрессий</w:t>
      </w:r>
      <w:r>
        <w:rPr>
          <w:color w:val="000000"/>
          <w:sz w:val="24"/>
          <w:szCs w:val="24"/>
        </w:rPr>
        <w:t>, уровень достижения показателя составляет 94,2  процента (плановый показатель – 1100 человек, фактически достигнутый показатель – 1036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DF1F24">
        <w:rPr>
          <w:color w:val="000000"/>
          <w:sz w:val="24"/>
          <w:szCs w:val="24"/>
        </w:rPr>
        <w:t>Численность граждан, получивших меры социальной поддержки в рамках реализации мероприятия</w:t>
      </w:r>
      <w:r>
        <w:rPr>
          <w:color w:val="000000"/>
          <w:sz w:val="24"/>
          <w:szCs w:val="24"/>
        </w:rPr>
        <w:t xml:space="preserve"> - е</w:t>
      </w:r>
      <w:r w:rsidRPr="00DF1F24">
        <w:rPr>
          <w:color w:val="000000"/>
          <w:sz w:val="24"/>
          <w:szCs w:val="24"/>
        </w:rPr>
        <w:t>жемесячное пособие лицам, имеющим особые заслуги перед Российской Федерацией и Амурской областью</w:t>
      </w:r>
      <w:r>
        <w:rPr>
          <w:color w:val="000000"/>
          <w:sz w:val="24"/>
          <w:szCs w:val="24"/>
        </w:rPr>
        <w:t>,</w:t>
      </w:r>
      <w:r w:rsidRPr="00DF1F24">
        <w:rPr>
          <w:color w:val="000000"/>
          <w:sz w:val="24"/>
          <w:szCs w:val="24"/>
        </w:rPr>
        <w:t xml:space="preserve"> </w:t>
      </w:r>
      <w:r>
        <w:rPr>
          <w:color w:val="000000"/>
          <w:sz w:val="24"/>
          <w:szCs w:val="24"/>
        </w:rPr>
        <w:t>уровень достижения показателя составляет 93,8  процента (плановый показатель – 2646 человек, фактически достигнутый показатель – 2482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DF1F24">
        <w:rPr>
          <w:color w:val="000000"/>
          <w:sz w:val="24"/>
          <w:szCs w:val="24"/>
        </w:rPr>
        <w:t>Численность граждан, получивших меры социальной поддержки в рамках реализации мероприятия</w:t>
      </w:r>
      <w:r>
        <w:rPr>
          <w:color w:val="000000"/>
          <w:sz w:val="24"/>
          <w:szCs w:val="24"/>
        </w:rPr>
        <w:t xml:space="preserve"> - е</w:t>
      </w:r>
      <w:r w:rsidRPr="00DF1F24">
        <w:rPr>
          <w:color w:val="000000"/>
          <w:sz w:val="24"/>
          <w:szCs w:val="24"/>
        </w:rPr>
        <w:t>жемесячное пособие лицам, имеющим особые заслуги перед Амурской областью в сфере культуры и искусства</w:t>
      </w:r>
      <w:r>
        <w:rPr>
          <w:color w:val="000000"/>
          <w:sz w:val="24"/>
          <w:szCs w:val="24"/>
        </w:rPr>
        <w:t>,</w:t>
      </w:r>
      <w:r w:rsidRPr="00DF1F24">
        <w:rPr>
          <w:color w:val="000000"/>
          <w:sz w:val="24"/>
          <w:szCs w:val="24"/>
        </w:rPr>
        <w:t xml:space="preserve"> </w:t>
      </w:r>
      <w:r>
        <w:rPr>
          <w:color w:val="000000"/>
          <w:sz w:val="24"/>
          <w:szCs w:val="24"/>
        </w:rPr>
        <w:t>уровень достижения показателя составляет 98,3  процента (плановый показатель –57 человек, фактически достигнутый показатель – 56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DF1F24">
        <w:rPr>
          <w:color w:val="000000"/>
          <w:sz w:val="24"/>
          <w:szCs w:val="24"/>
        </w:rPr>
        <w:lastRenderedPageBreak/>
        <w:t>Численность граждан, получивших меры социальной поддержки в рамках реализации мероприятия</w:t>
      </w:r>
      <w:r>
        <w:rPr>
          <w:color w:val="000000"/>
          <w:sz w:val="24"/>
          <w:szCs w:val="24"/>
        </w:rPr>
        <w:t xml:space="preserve"> - е</w:t>
      </w:r>
      <w:r w:rsidRPr="00DF1F24">
        <w:rPr>
          <w:color w:val="000000"/>
          <w:sz w:val="24"/>
          <w:szCs w:val="24"/>
        </w:rPr>
        <w:t>жемесячное пособие семьям граждан, проходивших военную службу по призыву и погибших, умерших в результате увечья, заболевания, полученных при исполнении обязанностей военной службы</w:t>
      </w:r>
      <w:r>
        <w:rPr>
          <w:color w:val="000000"/>
          <w:sz w:val="24"/>
          <w:szCs w:val="24"/>
        </w:rPr>
        <w:t>,</w:t>
      </w:r>
      <w:r w:rsidRPr="00DF1F24">
        <w:rPr>
          <w:color w:val="000000"/>
          <w:sz w:val="24"/>
          <w:szCs w:val="24"/>
        </w:rPr>
        <w:t xml:space="preserve"> </w:t>
      </w:r>
      <w:r>
        <w:rPr>
          <w:color w:val="000000"/>
          <w:sz w:val="24"/>
          <w:szCs w:val="24"/>
        </w:rPr>
        <w:t xml:space="preserve">уровень достижения показателя составляет </w:t>
      </w:r>
      <w:r>
        <w:rPr>
          <w:color w:val="000000"/>
          <w:sz w:val="24"/>
          <w:szCs w:val="24"/>
        </w:rPr>
        <w:br/>
        <w:t xml:space="preserve">80  процентов (плановый показатель –5 человек, фактически достигнутый показатель – </w:t>
      </w:r>
      <w:r>
        <w:rPr>
          <w:color w:val="000000"/>
          <w:sz w:val="24"/>
          <w:szCs w:val="24"/>
        </w:rPr>
        <w:br/>
        <w:t>4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7F3ADB">
        <w:rPr>
          <w:color w:val="000000"/>
          <w:sz w:val="24"/>
          <w:szCs w:val="24"/>
        </w:rPr>
        <w:t>Численность граждан, получивших меры социальной поддержки в рамках реализации мероприятия</w:t>
      </w:r>
      <w:r w:rsidRPr="007F3ADB">
        <w:t xml:space="preserve"> </w:t>
      </w:r>
      <w:r>
        <w:t xml:space="preserve">- </w:t>
      </w:r>
      <w:r>
        <w:rPr>
          <w:sz w:val="24"/>
          <w:szCs w:val="24"/>
        </w:rPr>
        <w:t>е</w:t>
      </w:r>
      <w:r w:rsidRPr="007F3ADB">
        <w:rPr>
          <w:color w:val="000000"/>
          <w:sz w:val="24"/>
          <w:szCs w:val="24"/>
        </w:rPr>
        <w:t>жемесячное пособие родителям военнослужащих, погибших при прохождении военной службы по призыву, и родителям граждан, проходивших военные сборы</w:t>
      </w:r>
      <w:r>
        <w:rPr>
          <w:color w:val="000000"/>
          <w:sz w:val="24"/>
          <w:szCs w:val="24"/>
        </w:rPr>
        <w:t>,</w:t>
      </w:r>
      <w:r w:rsidRPr="007F3ADB">
        <w:rPr>
          <w:color w:val="000000"/>
          <w:sz w:val="24"/>
          <w:szCs w:val="24"/>
        </w:rPr>
        <w:t xml:space="preserve"> </w:t>
      </w:r>
      <w:r>
        <w:rPr>
          <w:color w:val="000000"/>
          <w:sz w:val="24"/>
          <w:szCs w:val="24"/>
        </w:rPr>
        <w:t>уровень достижения показателя составляет 95,1  процента (плановый показатель – 283  человека, фактически достигнутый показатель – 269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7F3ADB">
        <w:rPr>
          <w:color w:val="000000"/>
          <w:sz w:val="24"/>
          <w:szCs w:val="24"/>
        </w:rPr>
        <w:t>Численность граждан, получивших меры социальной поддержки в рамках реализации мероприятия</w:t>
      </w:r>
      <w:r w:rsidRPr="007F3ADB">
        <w:t xml:space="preserve"> </w:t>
      </w:r>
      <w:r>
        <w:t xml:space="preserve">- </w:t>
      </w:r>
      <w:r w:rsidRPr="007F3ADB">
        <w:rPr>
          <w:sz w:val="24"/>
          <w:szCs w:val="24"/>
        </w:rPr>
        <w:t>е</w:t>
      </w:r>
      <w:r w:rsidRPr="007F3ADB">
        <w:rPr>
          <w:color w:val="000000"/>
          <w:sz w:val="24"/>
          <w:szCs w:val="24"/>
        </w:rPr>
        <w:t>жемесячное пособие инвалидам I и II групп вследствие заболевания, полученного в период прохождения военной службы по призыву</w:t>
      </w:r>
      <w:r>
        <w:rPr>
          <w:color w:val="000000"/>
          <w:sz w:val="24"/>
          <w:szCs w:val="24"/>
        </w:rPr>
        <w:t>,</w:t>
      </w:r>
      <w:r w:rsidRPr="007F3ADB">
        <w:rPr>
          <w:color w:val="000000"/>
          <w:sz w:val="24"/>
          <w:szCs w:val="24"/>
        </w:rPr>
        <w:t xml:space="preserve"> </w:t>
      </w:r>
      <w:r>
        <w:rPr>
          <w:color w:val="000000"/>
          <w:sz w:val="24"/>
          <w:szCs w:val="24"/>
        </w:rPr>
        <w:t>уровень достижения показателя составляет 97,1  процента (плановый показатель – 34  человека, фактически достигнутый показатель – 33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7F3ADB">
        <w:rPr>
          <w:color w:val="000000"/>
          <w:sz w:val="24"/>
          <w:szCs w:val="24"/>
        </w:rPr>
        <w:t>Численность граждан, получивших меры социальной, поддержки в рамках реализации мероприятия</w:t>
      </w:r>
      <w:r w:rsidRPr="007F3ADB">
        <w:t xml:space="preserve"> </w:t>
      </w:r>
      <w:r>
        <w:t xml:space="preserve">- </w:t>
      </w:r>
      <w:r w:rsidRPr="007F3ADB">
        <w:rPr>
          <w:sz w:val="24"/>
          <w:szCs w:val="24"/>
        </w:rPr>
        <w:t>о</w:t>
      </w:r>
      <w:r w:rsidRPr="007F3ADB">
        <w:rPr>
          <w:color w:val="000000"/>
          <w:sz w:val="24"/>
          <w:szCs w:val="24"/>
        </w:rPr>
        <w:t>плата жилищно-коммунальных услуг отдельным категориям граждан</w:t>
      </w:r>
      <w:r>
        <w:rPr>
          <w:color w:val="000000"/>
          <w:sz w:val="24"/>
          <w:szCs w:val="24"/>
        </w:rPr>
        <w:t>,</w:t>
      </w:r>
      <w:r w:rsidRPr="007F3ADB">
        <w:rPr>
          <w:color w:val="000000"/>
          <w:sz w:val="24"/>
          <w:szCs w:val="24"/>
        </w:rPr>
        <w:t xml:space="preserve"> </w:t>
      </w:r>
      <w:r>
        <w:rPr>
          <w:color w:val="000000"/>
          <w:sz w:val="24"/>
          <w:szCs w:val="24"/>
        </w:rPr>
        <w:t>уровень достижения показателя составляет 96,5  процента (плановый показатель – 65770  человек, фактически достигнутый показатель – 63452 человека,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107F5F">
        <w:rPr>
          <w:color w:val="000000"/>
          <w:sz w:val="24"/>
          <w:szCs w:val="24"/>
        </w:rPr>
        <w:t>Численность граждан, получивших меры социальной поддержки в рамках реализации мероприятия</w:t>
      </w:r>
      <w:r>
        <w:t xml:space="preserve"> - </w:t>
      </w:r>
      <w:r w:rsidRPr="00107F5F">
        <w:rPr>
          <w:sz w:val="24"/>
          <w:szCs w:val="24"/>
        </w:rPr>
        <w:t>с</w:t>
      </w:r>
      <w:r w:rsidRPr="00107F5F">
        <w:rPr>
          <w:color w:val="000000"/>
          <w:sz w:val="24"/>
          <w:szCs w:val="24"/>
        </w:rPr>
        <w:t>оциальная поддержка специалистов государственных и муниципальных организаций учреждений, проживающих и работающих в сельской местности, поселках городского типа (рабочих поселках), а также пенсионеров из их числа</w:t>
      </w:r>
      <w:r>
        <w:rPr>
          <w:color w:val="000000"/>
          <w:sz w:val="24"/>
          <w:szCs w:val="24"/>
        </w:rPr>
        <w:t>,</w:t>
      </w:r>
      <w:r w:rsidRPr="00107F5F">
        <w:rPr>
          <w:color w:val="000000"/>
          <w:sz w:val="24"/>
          <w:szCs w:val="24"/>
        </w:rPr>
        <w:t xml:space="preserve"> </w:t>
      </w:r>
      <w:r>
        <w:rPr>
          <w:color w:val="000000"/>
          <w:sz w:val="24"/>
          <w:szCs w:val="24"/>
        </w:rPr>
        <w:t xml:space="preserve">уровень достижения показателя составляет 99,8  процента (плановый показатель – </w:t>
      </w:r>
      <w:r>
        <w:rPr>
          <w:color w:val="000000"/>
          <w:sz w:val="24"/>
          <w:szCs w:val="24"/>
        </w:rPr>
        <w:br/>
        <w:t>17038  человек, фактически достигнутый показатель – 16996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107F5F">
        <w:rPr>
          <w:color w:val="000000"/>
          <w:sz w:val="24"/>
          <w:szCs w:val="24"/>
        </w:rPr>
        <w:t>Численность граждан, получивших меры социальной поддержки в рамках реализации мероприятия</w:t>
      </w:r>
      <w:r w:rsidRPr="00107F5F">
        <w:t xml:space="preserve"> </w:t>
      </w:r>
      <w:r>
        <w:t xml:space="preserve">- </w:t>
      </w:r>
      <w:r w:rsidRPr="00107F5F">
        <w:rPr>
          <w:sz w:val="24"/>
          <w:szCs w:val="24"/>
        </w:rPr>
        <w:t>с</w:t>
      </w:r>
      <w:r w:rsidRPr="00107F5F">
        <w:rPr>
          <w:color w:val="000000"/>
          <w:sz w:val="24"/>
          <w:szCs w:val="24"/>
        </w:rPr>
        <w:t>оциальная поддержка граждан с низким уровнем дохода в виде предоставления субсидий на оплату жилого помещения и коммунальных услуг</w:t>
      </w:r>
      <w:r>
        <w:rPr>
          <w:color w:val="000000"/>
          <w:sz w:val="24"/>
          <w:szCs w:val="24"/>
        </w:rPr>
        <w:t>,</w:t>
      </w:r>
      <w:r w:rsidRPr="00107F5F">
        <w:rPr>
          <w:color w:val="000000"/>
          <w:sz w:val="24"/>
          <w:szCs w:val="24"/>
        </w:rPr>
        <w:t xml:space="preserve"> </w:t>
      </w:r>
      <w:r>
        <w:rPr>
          <w:color w:val="000000"/>
          <w:sz w:val="24"/>
          <w:szCs w:val="24"/>
        </w:rPr>
        <w:t xml:space="preserve">уровень достижения показателя составляет 94,5 процента (плановый показатель – </w:t>
      </w:r>
      <w:r>
        <w:rPr>
          <w:color w:val="000000"/>
          <w:sz w:val="24"/>
          <w:szCs w:val="24"/>
        </w:rPr>
        <w:br/>
        <w:t>33371  человек, фактически достигнутый показатель – 31526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107F5F">
        <w:rPr>
          <w:color w:val="000000"/>
          <w:sz w:val="24"/>
          <w:szCs w:val="24"/>
        </w:rPr>
        <w:t>Численность граждан, получивших меры социальной поддержки в рамках реализации мероприятия</w:t>
      </w:r>
      <w:r w:rsidRPr="00107F5F">
        <w:t xml:space="preserve"> </w:t>
      </w:r>
      <w:r>
        <w:t xml:space="preserve">- </w:t>
      </w:r>
      <w:r w:rsidRPr="00107F5F">
        <w:rPr>
          <w:sz w:val="24"/>
          <w:szCs w:val="24"/>
        </w:rPr>
        <w:t>д</w:t>
      </w:r>
      <w:r w:rsidRPr="00107F5F">
        <w:rPr>
          <w:color w:val="000000"/>
          <w:sz w:val="24"/>
          <w:szCs w:val="24"/>
        </w:rPr>
        <w:t>оплаты к пенсиям государственных служащих</w:t>
      </w:r>
      <w:r>
        <w:rPr>
          <w:color w:val="000000"/>
          <w:sz w:val="24"/>
          <w:szCs w:val="24"/>
        </w:rPr>
        <w:t>,</w:t>
      </w:r>
      <w:r w:rsidRPr="00107F5F">
        <w:rPr>
          <w:color w:val="000000"/>
          <w:sz w:val="24"/>
          <w:szCs w:val="24"/>
        </w:rPr>
        <w:t xml:space="preserve"> </w:t>
      </w:r>
      <w:r>
        <w:rPr>
          <w:color w:val="000000"/>
          <w:sz w:val="24"/>
          <w:szCs w:val="24"/>
        </w:rPr>
        <w:t xml:space="preserve">уровень достижения показателя составляет 96,6 процента (плановый показатель – </w:t>
      </w:r>
      <w:r>
        <w:rPr>
          <w:color w:val="000000"/>
          <w:sz w:val="24"/>
          <w:szCs w:val="24"/>
        </w:rPr>
        <w:br/>
        <w:t>673  человек, фактически достигнутый показатель – 650 человек, выплата пособия осуществляется по заявлению граждан).</w:t>
      </w:r>
    </w:p>
    <w:p w:rsidR="009C45F8" w:rsidRPr="00BA1A9C" w:rsidRDefault="009C45F8" w:rsidP="00124114">
      <w:pPr>
        <w:pStyle w:val="afa"/>
        <w:numPr>
          <w:ilvl w:val="0"/>
          <w:numId w:val="15"/>
        </w:numPr>
        <w:tabs>
          <w:tab w:val="left" w:pos="993"/>
        </w:tabs>
        <w:ind w:left="0" w:firstLine="709"/>
        <w:jc w:val="both"/>
        <w:rPr>
          <w:sz w:val="24"/>
          <w:szCs w:val="24"/>
        </w:rPr>
      </w:pPr>
      <w:r w:rsidRPr="00107F5F">
        <w:rPr>
          <w:color w:val="000000"/>
          <w:sz w:val="24"/>
          <w:szCs w:val="24"/>
        </w:rPr>
        <w:t xml:space="preserve">Количество больных с терминальной хронической почечной недостаточностью, мукополисахаридозом, лимфолейкозом, получивших социальные выплаты на проезд к месту лечения в ГАУЗАО </w:t>
      </w:r>
      <w:r>
        <w:rPr>
          <w:color w:val="000000"/>
          <w:sz w:val="24"/>
          <w:szCs w:val="24"/>
        </w:rPr>
        <w:t>«</w:t>
      </w:r>
      <w:r w:rsidRPr="00107F5F">
        <w:rPr>
          <w:color w:val="000000"/>
          <w:sz w:val="24"/>
          <w:szCs w:val="24"/>
        </w:rPr>
        <w:t>Амурская областная клиническая больница</w:t>
      </w:r>
      <w:r>
        <w:rPr>
          <w:color w:val="000000"/>
          <w:sz w:val="24"/>
          <w:szCs w:val="24"/>
        </w:rPr>
        <w:t>»</w:t>
      </w:r>
      <w:r w:rsidRPr="00107F5F">
        <w:rPr>
          <w:color w:val="000000"/>
          <w:sz w:val="24"/>
          <w:szCs w:val="24"/>
        </w:rPr>
        <w:t xml:space="preserve">, ГАУЗ АО </w:t>
      </w:r>
      <w:r>
        <w:rPr>
          <w:color w:val="000000"/>
          <w:sz w:val="24"/>
          <w:szCs w:val="24"/>
        </w:rPr>
        <w:t>«</w:t>
      </w:r>
      <w:r w:rsidRPr="00107F5F">
        <w:rPr>
          <w:color w:val="000000"/>
          <w:sz w:val="24"/>
          <w:szCs w:val="24"/>
        </w:rPr>
        <w:t>Амурская областная детская клиническая больница</w:t>
      </w:r>
      <w:r>
        <w:rPr>
          <w:color w:val="000000"/>
          <w:sz w:val="24"/>
          <w:szCs w:val="24"/>
        </w:rPr>
        <w:t xml:space="preserve">» - уровень достижения показателя составляет </w:t>
      </w:r>
      <w:r>
        <w:rPr>
          <w:color w:val="000000"/>
          <w:sz w:val="24"/>
          <w:szCs w:val="24"/>
        </w:rPr>
        <w:br/>
        <w:t>97,7 процента (плановый показатель – не менее 43  человек, фактически достигнутый показатель – 42 человека, выплата пособия осуществляется по заявлению граждан).</w:t>
      </w:r>
    </w:p>
    <w:p w:rsidR="009C45F8" w:rsidRPr="001A299F" w:rsidRDefault="009C45F8" w:rsidP="009C4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Pr>
          <w:rFonts w:ascii="Times New Roman" w:hAnsi="Times New Roman" w:cs="Times New Roman"/>
          <w:sz w:val="24"/>
          <w:szCs w:val="24"/>
        </w:rPr>
        <w:br/>
        <w:t xml:space="preserve">2017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Pr>
          <w:rFonts w:ascii="Times New Roman" w:hAnsi="Times New Roman" w:cs="Times New Roman"/>
          <w:sz w:val="24"/>
          <w:szCs w:val="24"/>
        </w:rPr>
        <w:t xml:space="preserve">, государственная программа </w:t>
      </w:r>
      <w:r w:rsidRPr="001A299F">
        <w:rPr>
          <w:rFonts w:ascii="Times New Roman" w:eastAsia="Times New Roman" w:hAnsi="Times New Roman" w:cs="Times New Roman"/>
          <w:sz w:val="24"/>
          <w:szCs w:val="24"/>
          <w:lang w:eastAsia="ru-RU"/>
        </w:rPr>
        <w:t>«Развитие системы социальной защиты населения Амурской области на 2014-2020 гг.»</w:t>
      </w:r>
      <w:r>
        <w:rPr>
          <w:rFonts w:ascii="Times New Roman" w:eastAsia="Times New Roman" w:hAnsi="Times New Roman" w:cs="Times New Roman"/>
          <w:sz w:val="24"/>
          <w:szCs w:val="24"/>
          <w:lang w:eastAsia="ru-RU"/>
        </w:rPr>
        <w:t xml:space="preserve"> признана эффективной.</w:t>
      </w:r>
    </w:p>
    <w:p w:rsidR="009C45F8" w:rsidRDefault="009C45F8" w:rsidP="009C45F8">
      <w:pPr>
        <w:spacing w:after="0" w:line="240" w:lineRule="auto"/>
        <w:ind w:firstLine="709"/>
        <w:jc w:val="center"/>
        <w:rPr>
          <w:rFonts w:ascii="Times New Roman" w:hAnsi="Times New Roman" w:cs="Times New Roman"/>
          <w:sz w:val="24"/>
          <w:szCs w:val="24"/>
        </w:rPr>
      </w:pPr>
    </w:p>
    <w:p w:rsidR="009C45F8" w:rsidRPr="001A299F" w:rsidRDefault="009C45F8" w:rsidP="009C45F8">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lastRenderedPageBreak/>
        <w:t>5.</w:t>
      </w:r>
      <w:r>
        <w:rPr>
          <w:rFonts w:ascii="Times New Roman" w:eastAsia="Times New Roman" w:hAnsi="Times New Roman" w:cs="Times New Roman"/>
          <w:b/>
          <w:sz w:val="24"/>
          <w:szCs w:val="24"/>
          <w:lang w:eastAsia="ru-RU"/>
        </w:rPr>
        <w:t>3</w:t>
      </w:r>
      <w:r w:rsidRPr="001A299F">
        <w:rPr>
          <w:rFonts w:ascii="Times New Roman" w:eastAsia="Times New Roman" w:hAnsi="Times New Roman" w:cs="Times New Roman"/>
          <w:b/>
          <w:sz w:val="24"/>
          <w:szCs w:val="24"/>
          <w:lang w:eastAsia="ru-RU"/>
        </w:rPr>
        <w:t>. Исполнение расходов областного бюджета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 в рамках государственной программы «Развитие и сохранение культуры и искусства Амурской области на 2014-2020 годы»</w:t>
      </w:r>
    </w:p>
    <w:p w:rsidR="009C45F8" w:rsidRDefault="009C45F8" w:rsidP="009C45F8">
      <w:pPr>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Государственная программа «Развитие и сохранение культуры и искусства Амурской области на 2014-2020 годы» утверждена постановлением Правительства Амурской области от 25.09.2013 № 443 (в редакции постановления Правительства Амурской области от </w:t>
      </w:r>
      <w:r>
        <w:rPr>
          <w:rFonts w:ascii="Times New Roman" w:eastAsia="Times New Roman" w:hAnsi="Times New Roman" w:cs="Times New Roman"/>
          <w:sz w:val="24"/>
          <w:szCs w:val="24"/>
          <w:lang w:eastAsia="ru-RU"/>
        </w:rPr>
        <w:t>08</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t>89</w:t>
      </w:r>
      <w:r w:rsidRPr="001A299F">
        <w:rPr>
          <w:rFonts w:ascii="Times New Roman" w:eastAsia="Times New Roman" w:hAnsi="Times New Roman" w:cs="Times New Roman"/>
          <w:sz w:val="24"/>
          <w:szCs w:val="24"/>
          <w:lang w:eastAsia="ru-RU"/>
        </w:rPr>
        <w:t xml:space="preserve">). Координатором государственной программы является министерство культуры и </w:t>
      </w:r>
      <w:r>
        <w:rPr>
          <w:rFonts w:ascii="Times New Roman" w:eastAsia="Times New Roman" w:hAnsi="Times New Roman" w:cs="Times New Roman"/>
          <w:sz w:val="24"/>
          <w:szCs w:val="24"/>
          <w:lang w:eastAsia="ru-RU"/>
        </w:rPr>
        <w:t xml:space="preserve">архивного дела  </w:t>
      </w:r>
      <w:r w:rsidRPr="001A299F">
        <w:rPr>
          <w:rFonts w:ascii="Times New Roman" w:eastAsia="Times New Roman" w:hAnsi="Times New Roman" w:cs="Times New Roman"/>
          <w:sz w:val="24"/>
          <w:szCs w:val="24"/>
          <w:lang w:eastAsia="ru-RU"/>
        </w:rPr>
        <w:t xml:space="preserve">Амурской области. Участниками государственной программы являются - министерство культуры и </w:t>
      </w:r>
      <w:r>
        <w:rPr>
          <w:rFonts w:ascii="Times New Roman" w:eastAsia="Times New Roman" w:hAnsi="Times New Roman" w:cs="Times New Roman"/>
          <w:sz w:val="24"/>
          <w:szCs w:val="24"/>
          <w:lang w:eastAsia="ru-RU"/>
        </w:rPr>
        <w:t>архивного дела А</w:t>
      </w:r>
      <w:r w:rsidRPr="001A299F">
        <w:rPr>
          <w:rFonts w:ascii="Times New Roman" w:eastAsia="Times New Roman" w:hAnsi="Times New Roman" w:cs="Times New Roman"/>
          <w:sz w:val="24"/>
          <w:szCs w:val="24"/>
          <w:lang w:eastAsia="ru-RU"/>
        </w:rPr>
        <w:t xml:space="preserve">мурской области, министерство внешнеэкономических связей, туризма и предпринимательства Амурской области, </w:t>
      </w:r>
      <w:r>
        <w:rPr>
          <w:rFonts w:ascii="Times New Roman" w:eastAsia="Times New Roman" w:hAnsi="Times New Roman" w:cs="Times New Roman"/>
          <w:sz w:val="24"/>
          <w:szCs w:val="24"/>
          <w:lang w:eastAsia="ru-RU"/>
        </w:rPr>
        <w:t xml:space="preserve">министерство внутренней и информационной политики Амурской области, </w:t>
      </w:r>
      <w:r>
        <w:rPr>
          <w:rFonts w:ascii="Times New Roman" w:hAnsi="Times New Roman" w:cs="Times New Roman"/>
          <w:sz w:val="24"/>
          <w:szCs w:val="24"/>
        </w:rPr>
        <w:t>государственная инспекция по охране объектов культурного наследия Амурской области.</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pacing w:val="6"/>
          <w:sz w:val="24"/>
          <w:szCs w:val="24"/>
        </w:rPr>
        <w:t xml:space="preserve">Законом Амурской области </w:t>
      </w:r>
      <w:r w:rsidRPr="00813B33">
        <w:rPr>
          <w:rFonts w:ascii="Times New Roman" w:hAnsi="Times New Roman" w:cs="Times New Roman"/>
          <w:spacing w:val="6"/>
          <w:sz w:val="24"/>
          <w:szCs w:val="24"/>
        </w:rPr>
        <w:t xml:space="preserve">от 20.12.2016 № 27-ОЗ «Об областном бюджете на 2017 год и плановый период 2018 и 2019 годов» </w:t>
      </w:r>
      <w:r>
        <w:rPr>
          <w:rFonts w:ascii="Times New Roman" w:hAnsi="Times New Roman" w:cs="Times New Roman"/>
          <w:spacing w:val="6"/>
          <w:sz w:val="24"/>
          <w:szCs w:val="24"/>
        </w:rPr>
        <w:t>(ред. от 21.12.2017)</w:t>
      </w:r>
      <w:r w:rsidRPr="001A299F">
        <w:rPr>
          <w:rFonts w:ascii="Times New Roman" w:eastAsia="Times New Roman" w:hAnsi="Times New Roman" w:cs="Times New Roman"/>
          <w:sz w:val="24"/>
          <w:szCs w:val="24"/>
          <w:lang w:eastAsia="ru-RU"/>
        </w:rPr>
        <w:t xml:space="preserve"> на реализацию государственной программы «Развитие и сохранение культуры и искусства Амурской области на 2014-2020 годы» утверждены бюджетные ассигнования в сумме </w:t>
      </w:r>
      <w:r>
        <w:rPr>
          <w:rFonts w:ascii="Times New Roman" w:eastAsia="Times New Roman" w:hAnsi="Times New Roman" w:cs="Times New Roman"/>
          <w:sz w:val="24"/>
          <w:szCs w:val="24"/>
          <w:lang w:eastAsia="ru-RU"/>
        </w:rPr>
        <w:t>363011,8</w:t>
      </w:r>
      <w:r w:rsidRPr="001A299F">
        <w:rPr>
          <w:rFonts w:ascii="Times New Roman" w:eastAsia="Times New Roman" w:hAnsi="Times New Roman" w:cs="Times New Roman"/>
          <w:sz w:val="24"/>
          <w:szCs w:val="24"/>
          <w:lang w:eastAsia="ru-RU"/>
        </w:rPr>
        <w:t xml:space="preserve"> тыс. рублей.</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363801,9</w:t>
      </w:r>
      <w:r w:rsidRPr="001A299F">
        <w:rPr>
          <w:rFonts w:ascii="Times New Roman" w:eastAsia="Times New Roman" w:hAnsi="Times New Roman" w:cs="Times New Roman"/>
          <w:sz w:val="24"/>
          <w:szCs w:val="24"/>
          <w:lang w:eastAsia="ru-RU"/>
        </w:rPr>
        <w:t xml:space="preserve"> тыс. рублей. Отклонение бюджетных ассигнований, утвержденных законом об областном бюджете, от бюджетных ассигнований, утвержденных сводной бюджетной росписью, составляет </w:t>
      </w:r>
      <w:r>
        <w:rPr>
          <w:rFonts w:ascii="Times New Roman" w:eastAsia="Times New Roman" w:hAnsi="Times New Roman" w:cs="Times New Roman"/>
          <w:sz w:val="24"/>
          <w:szCs w:val="24"/>
          <w:lang w:eastAsia="ru-RU"/>
        </w:rPr>
        <w:t xml:space="preserve">790,1 </w:t>
      </w:r>
      <w:r w:rsidRPr="001A299F">
        <w:rPr>
          <w:rFonts w:ascii="Times New Roman" w:eastAsia="Times New Roman" w:hAnsi="Times New Roman" w:cs="Times New Roman"/>
          <w:sz w:val="24"/>
          <w:szCs w:val="24"/>
          <w:lang w:eastAsia="ru-RU"/>
        </w:rPr>
        <w:t xml:space="preserve">тыс. рублей – средства федерального бюджета на поддержку </w:t>
      </w:r>
      <w:r>
        <w:rPr>
          <w:rFonts w:ascii="Times New Roman" w:eastAsia="Times New Roman" w:hAnsi="Times New Roman" w:cs="Times New Roman"/>
          <w:sz w:val="24"/>
          <w:szCs w:val="24"/>
          <w:lang w:eastAsia="ru-RU"/>
        </w:rPr>
        <w:t>творческой деятельности и техническое оснащение детских и кукольных театров.</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утвержденный в государственной программе постановлением Правительства Амурской области от 25.09.2013 № 443 (в редакции постановления Правительства Амурской области от </w:t>
      </w:r>
      <w:r>
        <w:rPr>
          <w:rFonts w:ascii="Times New Roman" w:eastAsia="Times New Roman" w:hAnsi="Times New Roman" w:cs="Times New Roman"/>
          <w:sz w:val="24"/>
          <w:szCs w:val="24"/>
          <w:lang w:eastAsia="ru-RU"/>
        </w:rPr>
        <w:t>08</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1A299F">
        <w:rPr>
          <w:rFonts w:ascii="Times New Roman" w:eastAsia="Times New Roman" w:hAnsi="Times New Roman" w:cs="Times New Roman"/>
          <w:sz w:val="24"/>
          <w:szCs w:val="24"/>
          <w:lang w:eastAsia="ru-RU"/>
        </w:rPr>
        <w:t xml:space="preserve"> составляет </w:t>
      </w:r>
      <w:r w:rsidRPr="001A299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363801,9 </w:t>
      </w:r>
      <w:r w:rsidRPr="001A299F">
        <w:rPr>
          <w:rFonts w:ascii="Times New Roman" w:eastAsia="Times New Roman" w:hAnsi="Times New Roman" w:cs="Times New Roman"/>
          <w:sz w:val="24"/>
          <w:szCs w:val="24"/>
          <w:lang w:eastAsia="ru-RU"/>
        </w:rPr>
        <w:t>тыс. рублей (средства областного бюджета  и федерального бюджета)</w:t>
      </w:r>
      <w:r>
        <w:rPr>
          <w:rFonts w:ascii="Times New Roman" w:eastAsia="Times New Roman" w:hAnsi="Times New Roman" w:cs="Times New Roman"/>
          <w:sz w:val="24"/>
          <w:szCs w:val="24"/>
          <w:lang w:eastAsia="ru-RU"/>
        </w:rPr>
        <w:t xml:space="preserve">, что соответствует бюджетным ассигнованиям, утвержденным сводной бюджетной росписью.  </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 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363248,4</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и сохранение культуры и искусства Амурской области на 2014-2020 годы» включает 8 подпрограмм.</w:t>
      </w:r>
    </w:p>
    <w:p w:rsidR="009C45F8" w:rsidRPr="00F2782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60A">
        <w:rPr>
          <w:rFonts w:ascii="Times New Roman" w:eastAsia="Times New Roman" w:hAnsi="Times New Roman" w:cs="Times New Roman"/>
          <w:sz w:val="24"/>
          <w:szCs w:val="24"/>
          <w:lang w:eastAsia="ru-RU"/>
        </w:rPr>
        <w:t xml:space="preserve">В </w:t>
      </w:r>
      <w:r w:rsidRPr="00F27828">
        <w:rPr>
          <w:rFonts w:ascii="Times New Roman" w:eastAsia="Times New Roman" w:hAnsi="Times New Roman" w:cs="Times New Roman"/>
          <w:sz w:val="24"/>
          <w:szCs w:val="24"/>
          <w:lang w:eastAsia="ru-RU"/>
        </w:rPr>
        <w:t>таблице 6 представлена информация об исполнении государственной программы «Развитие и сохранение культуры и искусства Амурской области на 2014-2020 годы» в разрезе подпрограмм.</w:t>
      </w:r>
    </w:p>
    <w:p w:rsidR="009C45F8" w:rsidRPr="00F27828" w:rsidRDefault="009C45F8" w:rsidP="009C45F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27828">
        <w:rPr>
          <w:rFonts w:ascii="Times New Roman" w:eastAsia="Times New Roman" w:hAnsi="Times New Roman" w:cs="Times New Roman"/>
          <w:sz w:val="24"/>
          <w:szCs w:val="24"/>
          <w:lang w:eastAsia="ru-RU"/>
        </w:rPr>
        <w:t>Таблица 6</w:t>
      </w:r>
    </w:p>
    <w:p w:rsidR="009C45F8" w:rsidRPr="00BB260A" w:rsidRDefault="009C45F8" w:rsidP="009C45F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B260A">
        <w:rPr>
          <w:rFonts w:ascii="Times New Roman" w:eastAsia="Times New Roman" w:hAnsi="Times New Roman" w:cs="Times New Roman"/>
          <w:b/>
          <w:sz w:val="24"/>
          <w:szCs w:val="24"/>
          <w:lang w:eastAsia="ru-RU"/>
        </w:rPr>
        <w:t>Анализ исполнения государственной программы «Развитие и сохранение культуры и искусства Амурской области на 2014-2020 годы» в разрезе подпрограмм</w:t>
      </w:r>
    </w:p>
    <w:p w:rsidR="009C45F8" w:rsidRPr="001A299F" w:rsidRDefault="009C45F8" w:rsidP="009C45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3582"/>
        <w:gridCol w:w="1265"/>
        <w:gridCol w:w="1531"/>
        <w:gridCol w:w="1805"/>
        <w:gridCol w:w="1670"/>
      </w:tblGrid>
      <w:tr w:rsidR="009C45F8" w:rsidRPr="001A299F" w:rsidTr="009C45F8">
        <w:trPr>
          <w:tblHeader/>
        </w:trPr>
        <w:tc>
          <w:tcPr>
            <w:tcW w:w="3785"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344"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План</w:t>
            </w:r>
          </w:p>
        </w:tc>
        <w:tc>
          <w:tcPr>
            <w:tcW w:w="1463"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Исполнение</w:t>
            </w:r>
          </w:p>
        </w:tc>
        <w:tc>
          <w:tcPr>
            <w:tcW w:w="1682"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Уровень исполнения,%</w:t>
            </w:r>
          </w:p>
        </w:tc>
        <w:tc>
          <w:tcPr>
            <w:tcW w:w="1579"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9C45F8" w:rsidRPr="001A299F" w:rsidTr="009C45F8">
        <w:tc>
          <w:tcPr>
            <w:tcW w:w="3785" w:type="dxa"/>
          </w:tcPr>
          <w:p w:rsidR="009C45F8" w:rsidRPr="001A299F" w:rsidRDefault="009C45F8" w:rsidP="009C45F8">
            <w:pPr>
              <w:widowControl w:val="0"/>
              <w:autoSpaceDE w:val="0"/>
              <w:autoSpaceDN w:val="0"/>
              <w:adjustRightInd w:val="0"/>
              <w:rPr>
                <w:b/>
                <w:bCs/>
                <w:sz w:val="24"/>
                <w:szCs w:val="24"/>
              </w:rPr>
            </w:pPr>
            <w:r w:rsidRPr="001A299F">
              <w:rPr>
                <w:b/>
                <w:bCs/>
                <w:sz w:val="24"/>
                <w:szCs w:val="24"/>
              </w:rPr>
              <w:t>«</w:t>
            </w:r>
            <w:r w:rsidRPr="001A299F">
              <w:rPr>
                <w:b/>
                <w:sz w:val="24"/>
                <w:szCs w:val="24"/>
              </w:rPr>
              <w:t>Развитие и сохранение культуры и искусства Амурской области на 2014-2020 годы»</w:t>
            </w:r>
            <w:r w:rsidRPr="001A299F">
              <w:rPr>
                <w:b/>
                <w:bCs/>
                <w:sz w:val="24"/>
                <w:szCs w:val="24"/>
              </w:rPr>
              <w:t xml:space="preserve">, </w:t>
            </w:r>
          </w:p>
        </w:tc>
        <w:tc>
          <w:tcPr>
            <w:tcW w:w="1344"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363801,9</w:t>
            </w:r>
          </w:p>
        </w:tc>
        <w:tc>
          <w:tcPr>
            <w:tcW w:w="1463"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363248,4</w:t>
            </w:r>
          </w:p>
        </w:tc>
        <w:tc>
          <w:tcPr>
            <w:tcW w:w="1682"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9</w:t>
            </w:r>
            <w:r>
              <w:rPr>
                <w:b/>
                <w:bCs/>
                <w:sz w:val="24"/>
                <w:szCs w:val="24"/>
              </w:rPr>
              <w:t>9</w:t>
            </w:r>
            <w:r w:rsidRPr="001A299F">
              <w:rPr>
                <w:b/>
                <w:bCs/>
                <w:sz w:val="24"/>
                <w:szCs w:val="24"/>
              </w:rPr>
              <w:t>,</w:t>
            </w:r>
            <w:r>
              <w:rPr>
                <w:b/>
                <w:bCs/>
                <w:sz w:val="24"/>
                <w:szCs w:val="24"/>
              </w:rPr>
              <w:t>8</w:t>
            </w:r>
          </w:p>
        </w:tc>
        <w:tc>
          <w:tcPr>
            <w:tcW w:w="1579"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553,5</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bCs/>
                <w:sz w:val="24"/>
                <w:szCs w:val="24"/>
              </w:rPr>
              <w:t>в том числе:</w:t>
            </w:r>
          </w:p>
        </w:tc>
        <w:tc>
          <w:tcPr>
            <w:tcW w:w="1344" w:type="dxa"/>
          </w:tcPr>
          <w:p w:rsidR="009C45F8" w:rsidRPr="001A299F" w:rsidRDefault="009C45F8" w:rsidP="009C45F8">
            <w:pPr>
              <w:widowControl w:val="0"/>
              <w:autoSpaceDE w:val="0"/>
              <w:autoSpaceDN w:val="0"/>
              <w:adjustRightInd w:val="0"/>
              <w:jc w:val="right"/>
              <w:rPr>
                <w:sz w:val="24"/>
                <w:szCs w:val="24"/>
              </w:rPr>
            </w:pPr>
          </w:p>
        </w:tc>
        <w:tc>
          <w:tcPr>
            <w:tcW w:w="1463" w:type="dxa"/>
          </w:tcPr>
          <w:p w:rsidR="009C45F8" w:rsidRPr="001A299F" w:rsidRDefault="009C45F8" w:rsidP="009C45F8">
            <w:pPr>
              <w:widowControl w:val="0"/>
              <w:autoSpaceDE w:val="0"/>
              <w:autoSpaceDN w:val="0"/>
              <w:adjustRightInd w:val="0"/>
              <w:jc w:val="right"/>
              <w:rPr>
                <w:sz w:val="24"/>
                <w:szCs w:val="24"/>
              </w:rPr>
            </w:pPr>
          </w:p>
        </w:tc>
        <w:tc>
          <w:tcPr>
            <w:tcW w:w="1682" w:type="dxa"/>
          </w:tcPr>
          <w:p w:rsidR="009C45F8" w:rsidRPr="001A299F" w:rsidRDefault="009C45F8" w:rsidP="009C45F8">
            <w:pPr>
              <w:widowControl w:val="0"/>
              <w:autoSpaceDE w:val="0"/>
              <w:autoSpaceDN w:val="0"/>
              <w:adjustRightInd w:val="0"/>
              <w:jc w:val="right"/>
              <w:rPr>
                <w:sz w:val="24"/>
                <w:szCs w:val="24"/>
              </w:rPr>
            </w:pPr>
          </w:p>
        </w:tc>
        <w:tc>
          <w:tcPr>
            <w:tcW w:w="1579" w:type="dxa"/>
          </w:tcPr>
          <w:p w:rsidR="009C45F8" w:rsidRPr="001A299F" w:rsidRDefault="009C45F8" w:rsidP="009C45F8">
            <w:pPr>
              <w:widowControl w:val="0"/>
              <w:autoSpaceDE w:val="0"/>
              <w:autoSpaceDN w:val="0"/>
              <w:adjustRightInd w:val="0"/>
              <w:jc w:val="right"/>
              <w:rPr>
                <w:sz w:val="24"/>
                <w:szCs w:val="24"/>
              </w:rPr>
            </w:pP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«Профессиональное искусство»</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128264,2</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128264,1</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100,0</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0,1</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«Народное творчество и досуговая деятельность»</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26400,9</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26400,9</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100,0</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lastRenderedPageBreak/>
              <w:t>Подпрограмма «Архивное дело»</w:t>
            </w:r>
          </w:p>
        </w:tc>
        <w:tc>
          <w:tcPr>
            <w:tcW w:w="1344" w:type="dxa"/>
          </w:tcPr>
          <w:p w:rsidR="009C45F8" w:rsidRPr="001A299F" w:rsidRDefault="009C45F8" w:rsidP="009C45F8">
            <w:pPr>
              <w:widowControl w:val="0"/>
              <w:autoSpaceDE w:val="0"/>
              <w:autoSpaceDN w:val="0"/>
              <w:adjustRightInd w:val="0"/>
              <w:jc w:val="center"/>
              <w:rPr>
                <w:sz w:val="24"/>
                <w:szCs w:val="24"/>
              </w:rPr>
            </w:pPr>
            <w:r>
              <w:rPr>
                <w:sz w:val="24"/>
                <w:szCs w:val="24"/>
              </w:rPr>
              <w:t>14255,2</w:t>
            </w:r>
          </w:p>
        </w:tc>
        <w:tc>
          <w:tcPr>
            <w:tcW w:w="1463" w:type="dxa"/>
          </w:tcPr>
          <w:p w:rsidR="009C45F8" w:rsidRPr="001A299F" w:rsidRDefault="009C45F8" w:rsidP="009C45F8">
            <w:pPr>
              <w:widowControl w:val="0"/>
              <w:autoSpaceDE w:val="0"/>
              <w:autoSpaceDN w:val="0"/>
              <w:adjustRightInd w:val="0"/>
              <w:jc w:val="center"/>
              <w:rPr>
                <w:sz w:val="24"/>
                <w:szCs w:val="24"/>
              </w:rPr>
            </w:pPr>
            <w:r>
              <w:rPr>
                <w:sz w:val="24"/>
                <w:szCs w:val="24"/>
              </w:rPr>
              <w:t>14255,2</w:t>
            </w:r>
          </w:p>
        </w:tc>
        <w:tc>
          <w:tcPr>
            <w:tcW w:w="1682" w:type="dxa"/>
          </w:tcPr>
          <w:p w:rsidR="009C45F8" w:rsidRPr="001A299F" w:rsidRDefault="009C45F8" w:rsidP="009C45F8">
            <w:pPr>
              <w:widowControl w:val="0"/>
              <w:autoSpaceDE w:val="0"/>
              <w:autoSpaceDN w:val="0"/>
              <w:adjustRightInd w:val="0"/>
              <w:jc w:val="center"/>
              <w:rPr>
                <w:sz w:val="24"/>
                <w:szCs w:val="24"/>
              </w:rPr>
            </w:pPr>
            <w:r w:rsidRPr="001A299F">
              <w:rPr>
                <w:sz w:val="24"/>
                <w:szCs w:val="24"/>
              </w:rPr>
              <w:t>100,0</w:t>
            </w:r>
          </w:p>
        </w:tc>
        <w:tc>
          <w:tcPr>
            <w:tcW w:w="1579" w:type="dxa"/>
          </w:tcPr>
          <w:p w:rsidR="009C45F8" w:rsidRPr="001A299F" w:rsidRDefault="009C45F8" w:rsidP="009C45F8">
            <w:pPr>
              <w:widowControl w:val="0"/>
              <w:autoSpaceDE w:val="0"/>
              <w:autoSpaceDN w:val="0"/>
              <w:adjustRightInd w:val="0"/>
              <w:jc w:val="center"/>
              <w:rPr>
                <w:sz w:val="24"/>
                <w:szCs w:val="24"/>
              </w:rPr>
            </w:pPr>
            <w:r w:rsidRPr="001A299F">
              <w:rPr>
                <w:sz w:val="24"/>
                <w:szCs w:val="24"/>
              </w:rPr>
              <w:t>-</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«Историко-культурное наследие»</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24298,1</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24298,1</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100,0</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 xml:space="preserve">Подпрограмма «Этнокультурное наследие» </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1865,1</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1865,1</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100,0</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 xml:space="preserve">Подпрограмма «Библиотечное обслуживание» </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34031,4</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34031,4</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100,0</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 xml:space="preserve">Подпрограмма «Мероприятия в сфере культуры и искусства» </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63066,2</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63049,7</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99,</w:t>
            </w:r>
            <w:r>
              <w:rPr>
                <w:sz w:val="24"/>
                <w:szCs w:val="24"/>
              </w:rPr>
              <w:t>9</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16,5</w:t>
            </w:r>
          </w:p>
        </w:tc>
      </w:tr>
      <w:tr w:rsidR="009C45F8" w:rsidRPr="001A299F" w:rsidTr="009C45F8">
        <w:tc>
          <w:tcPr>
            <w:tcW w:w="3785" w:type="dxa"/>
          </w:tcPr>
          <w:p w:rsidR="009C45F8" w:rsidRPr="001A299F" w:rsidRDefault="009C45F8" w:rsidP="009C45F8">
            <w:pPr>
              <w:widowControl w:val="0"/>
              <w:autoSpaceDE w:val="0"/>
              <w:autoSpaceDN w:val="0"/>
              <w:adjustRightInd w:val="0"/>
              <w:jc w:val="both"/>
              <w:rPr>
                <w:sz w:val="24"/>
                <w:szCs w:val="24"/>
              </w:rPr>
            </w:pPr>
            <w:r w:rsidRPr="001A299F">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44"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71620,8</w:t>
            </w:r>
          </w:p>
        </w:tc>
        <w:tc>
          <w:tcPr>
            <w:tcW w:w="1463"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71083,9</w:t>
            </w:r>
          </w:p>
        </w:tc>
        <w:tc>
          <w:tcPr>
            <w:tcW w:w="1682"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9</w:t>
            </w:r>
            <w:r>
              <w:rPr>
                <w:sz w:val="24"/>
                <w:szCs w:val="24"/>
              </w:rPr>
              <w:t>9</w:t>
            </w:r>
            <w:r w:rsidRPr="001A299F">
              <w:rPr>
                <w:sz w:val="24"/>
                <w:szCs w:val="24"/>
              </w:rPr>
              <w:t>,</w:t>
            </w:r>
            <w:r>
              <w:rPr>
                <w:sz w:val="24"/>
                <w:szCs w:val="24"/>
              </w:rPr>
              <w:t>3</w:t>
            </w:r>
          </w:p>
        </w:tc>
        <w:tc>
          <w:tcPr>
            <w:tcW w:w="157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536,9</w:t>
            </w:r>
          </w:p>
        </w:tc>
      </w:tr>
    </w:tbl>
    <w:p w:rsidR="009C45F8" w:rsidRPr="001A299F" w:rsidRDefault="009C45F8" w:rsidP="009C45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C45F8" w:rsidRPr="001A299F" w:rsidRDefault="009C45F8" w:rsidP="009C45F8">
      <w:pPr>
        <w:widowControl w:val="0"/>
        <w:autoSpaceDE w:val="0"/>
        <w:autoSpaceDN w:val="0"/>
        <w:adjustRightInd w:val="0"/>
        <w:spacing w:after="0" w:line="240" w:lineRule="auto"/>
        <w:ind w:left="360" w:firstLine="348"/>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«Профессиональное искусство»</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«Профессиональное искусство» утверждены в расходах областного бюджета в сумме </w:t>
      </w:r>
      <w:r>
        <w:rPr>
          <w:rFonts w:ascii="Times New Roman" w:hAnsi="Times New Roman" w:cs="Times New Roman"/>
          <w:sz w:val="24"/>
          <w:szCs w:val="24"/>
        </w:rPr>
        <w:t>128264,2</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3</w:t>
      </w:r>
      <w:r>
        <w:rPr>
          <w:rFonts w:ascii="Times New Roman" w:hAnsi="Times New Roman" w:cs="Times New Roman"/>
          <w:sz w:val="24"/>
          <w:szCs w:val="24"/>
        </w:rPr>
        <w:t>5</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100</w:t>
      </w:r>
      <w:r w:rsidRPr="001A299F">
        <w:rPr>
          <w:rFonts w:ascii="Times New Roman" w:hAnsi="Times New Roman" w:cs="Times New Roman"/>
          <w:sz w:val="24"/>
          <w:szCs w:val="24"/>
        </w:rPr>
        <w:t>,0 процентов.</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структуре расходов подпрограммы наибольший объем приходится на расходы по обеспечению деятельности (оказанию услуг) государственных учреждений – 9</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1</w:t>
      </w:r>
      <w:r w:rsidRPr="001A299F">
        <w:rPr>
          <w:rFonts w:ascii="Times New Roman" w:hAnsi="Times New Roman" w:cs="Times New Roman"/>
          <w:sz w:val="24"/>
          <w:szCs w:val="24"/>
        </w:rPr>
        <w:t xml:space="preserve"> процента, или </w:t>
      </w:r>
      <w:r>
        <w:rPr>
          <w:rFonts w:ascii="Times New Roman" w:hAnsi="Times New Roman" w:cs="Times New Roman"/>
          <w:sz w:val="24"/>
          <w:szCs w:val="24"/>
        </w:rPr>
        <w:t>119386,1</w:t>
      </w:r>
      <w:r w:rsidRPr="001A299F">
        <w:rPr>
          <w:rFonts w:ascii="Times New Roman" w:hAnsi="Times New Roman" w:cs="Times New Roman"/>
          <w:sz w:val="24"/>
          <w:szCs w:val="24"/>
        </w:rPr>
        <w:t xml:space="preserve"> тыс. рублей. Исполнение по данному мероприятию подпрограммы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составляет </w:t>
      </w:r>
      <w:r>
        <w:rPr>
          <w:rFonts w:ascii="Times New Roman" w:hAnsi="Times New Roman" w:cs="Times New Roman"/>
          <w:sz w:val="24"/>
          <w:szCs w:val="24"/>
        </w:rPr>
        <w:t>119386,1</w:t>
      </w:r>
      <w:r w:rsidRPr="001A299F">
        <w:rPr>
          <w:rFonts w:ascii="Times New Roman" w:hAnsi="Times New Roman" w:cs="Times New Roman"/>
          <w:sz w:val="24"/>
          <w:szCs w:val="24"/>
        </w:rPr>
        <w:t xml:space="preserve"> тыс. рублей, или </w:t>
      </w:r>
      <w:r>
        <w:rPr>
          <w:rFonts w:ascii="Times New Roman" w:hAnsi="Times New Roman" w:cs="Times New Roman"/>
          <w:sz w:val="24"/>
          <w:szCs w:val="24"/>
        </w:rPr>
        <w:t>100,0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w:t>
      </w:r>
    </w:p>
    <w:p w:rsidR="009C45F8" w:rsidRDefault="009C45F8" w:rsidP="009C45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Бюджетные ассигнования, предусмотренные на реализацию программного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 xml:space="preserve">мероприятия – капитальные вложения в объекты государственной собственности исполнены в объеме </w:t>
      </w:r>
      <w:r>
        <w:rPr>
          <w:rFonts w:ascii="Times New Roman" w:eastAsia="Times New Roman" w:hAnsi="Times New Roman" w:cs="Times New Roman"/>
          <w:sz w:val="24"/>
          <w:szCs w:val="24"/>
          <w:lang w:eastAsia="ru-RU"/>
        </w:rPr>
        <w:t>8000,0</w:t>
      </w:r>
      <w:r w:rsidRPr="001A299F">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100,0</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A299F">
        <w:rPr>
          <w:rFonts w:ascii="Times New Roman" w:eastAsia="Times New Roman" w:hAnsi="Times New Roman" w:cs="Times New Roman"/>
          <w:sz w:val="24"/>
          <w:szCs w:val="24"/>
          <w:lang w:eastAsia="ru-RU"/>
        </w:rPr>
        <w:t xml:space="preserve"> плановых назначений. </w:t>
      </w:r>
    </w:p>
    <w:p w:rsidR="009C45F8" w:rsidRDefault="009C45F8" w:rsidP="009C45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по расходам на поддержку творческой деятельности и техническое оснащение детских и кукольных театров составляет 878,0 тыс. рублей, или 100,0 процентов плановых назначений.</w:t>
      </w:r>
    </w:p>
    <w:p w:rsidR="009C45F8" w:rsidRPr="001A299F" w:rsidRDefault="009C45F8" w:rsidP="00F2782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«Народное творчество и досуговая деятельность»</w:t>
      </w:r>
    </w:p>
    <w:p w:rsidR="009C45F8" w:rsidRPr="001A299F" w:rsidRDefault="009C45F8" w:rsidP="00F2782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«Народное творчество и досуговая деятельность» утверждены в расходах областного бюджета в сумме </w:t>
      </w:r>
      <w:r>
        <w:rPr>
          <w:rFonts w:ascii="Times New Roman" w:hAnsi="Times New Roman" w:cs="Times New Roman"/>
          <w:sz w:val="24"/>
          <w:szCs w:val="24"/>
        </w:rPr>
        <w:t>26400,9</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7</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По данной подпрограмме осуществлялось финансирование программн</w:t>
      </w:r>
      <w:r>
        <w:rPr>
          <w:rFonts w:ascii="Times New Roman" w:hAnsi="Times New Roman" w:cs="Times New Roman"/>
          <w:sz w:val="24"/>
          <w:szCs w:val="24"/>
        </w:rPr>
        <w:t>ого</w:t>
      </w:r>
      <w:r w:rsidRPr="001A299F">
        <w:rPr>
          <w:rFonts w:ascii="Times New Roman" w:hAnsi="Times New Roman" w:cs="Times New Roman"/>
          <w:sz w:val="24"/>
          <w:szCs w:val="24"/>
        </w:rPr>
        <w:t xml:space="preserve"> мероприяти</w:t>
      </w:r>
      <w:r>
        <w:rPr>
          <w:rFonts w:ascii="Times New Roman" w:hAnsi="Times New Roman" w:cs="Times New Roman"/>
          <w:sz w:val="24"/>
          <w:szCs w:val="24"/>
        </w:rPr>
        <w:t xml:space="preserve">я </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обеспечение деятельности (оказание услуг) государственных учреждений</w:t>
      </w:r>
      <w:r>
        <w:rPr>
          <w:rFonts w:ascii="Times New Roman" w:eastAsia="Times New Roman" w:hAnsi="Times New Roman" w:cs="Times New Roman"/>
          <w:sz w:val="24"/>
          <w:szCs w:val="24"/>
          <w:lang w:eastAsia="ru-RU"/>
        </w:rPr>
        <w:t>.</w:t>
      </w:r>
    </w:p>
    <w:p w:rsidR="009C45F8" w:rsidRPr="001A299F" w:rsidRDefault="009C45F8" w:rsidP="009C45F8">
      <w:pPr>
        <w:spacing w:after="0" w:line="240" w:lineRule="auto"/>
        <w:ind w:firstLine="709"/>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«Архивное дело»</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«Архивное дело» утверждены в расходах областного бюджета в сумме </w:t>
      </w:r>
      <w:r>
        <w:rPr>
          <w:rFonts w:ascii="Times New Roman" w:hAnsi="Times New Roman" w:cs="Times New Roman"/>
          <w:sz w:val="24"/>
          <w:szCs w:val="24"/>
        </w:rPr>
        <w:t>14255,2</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3,</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9C45F8"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осуществлялось финансирование программного мероприятия – обеспечение деятельности (оказание услуг) государственных учреждений.</w:t>
      </w:r>
    </w:p>
    <w:p w:rsidR="009C45F8" w:rsidRPr="001A299F" w:rsidRDefault="009C45F8" w:rsidP="00F27828">
      <w:pPr>
        <w:widowControl w:val="0"/>
        <w:autoSpaceDE w:val="0"/>
        <w:autoSpaceDN w:val="0"/>
        <w:adjustRightInd w:val="0"/>
        <w:spacing w:before="120" w:after="0" w:line="240" w:lineRule="auto"/>
        <w:ind w:left="72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lastRenderedPageBreak/>
        <w:t>Подпрограмма «Историко-культурное наследие»</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«Историко-культурное наследие» утверждены в расходах областного бюджета в сумме </w:t>
      </w:r>
      <w:r>
        <w:rPr>
          <w:rFonts w:ascii="Times New Roman" w:hAnsi="Times New Roman" w:cs="Times New Roman"/>
          <w:sz w:val="24"/>
          <w:szCs w:val="24"/>
        </w:rPr>
        <w:t>24298,1</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w:t>
      </w:r>
      <w:r>
        <w:rPr>
          <w:rFonts w:ascii="Times New Roman" w:hAnsi="Times New Roman" w:cs="Times New Roman"/>
          <w:sz w:val="24"/>
          <w:szCs w:val="24"/>
        </w:rPr>
        <w:t xml:space="preserve"> </w:t>
      </w:r>
      <w:r>
        <w:rPr>
          <w:rFonts w:ascii="Times New Roman" w:hAnsi="Times New Roman" w:cs="Times New Roman"/>
          <w:sz w:val="24"/>
          <w:szCs w:val="24"/>
        </w:rPr>
        <w:br/>
        <w:t>6</w:t>
      </w:r>
      <w:r w:rsidRPr="001A299F">
        <w:rPr>
          <w:rFonts w:ascii="Times New Roman" w:hAnsi="Times New Roman" w:cs="Times New Roman"/>
          <w:sz w:val="24"/>
          <w:szCs w:val="24"/>
        </w:rPr>
        <w:t>,</w:t>
      </w:r>
      <w:r>
        <w:rPr>
          <w:rFonts w:ascii="Times New Roman" w:hAnsi="Times New Roman" w:cs="Times New Roman"/>
          <w:sz w:val="24"/>
          <w:szCs w:val="24"/>
        </w:rPr>
        <w:t>7</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9C45F8"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осуществлялось финансирование программного мероприятия – обеспечение деятельности (оказание услуг) государственных учреждений.</w:t>
      </w:r>
    </w:p>
    <w:p w:rsidR="009C45F8" w:rsidRPr="001A299F" w:rsidRDefault="009C45F8" w:rsidP="00F27828">
      <w:pPr>
        <w:widowControl w:val="0"/>
        <w:autoSpaceDE w:val="0"/>
        <w:autoSpaceDN w:val="0"/>
        <w:adjustRightInd w:val="0"/>
        <w:spacing w:before="120" w:after="0" w:line="240" w:lineRule="auto"/>
        <w:ind w:left="72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«Этнокультурное наследие»</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«Этнокультурное наследие» утверждены в расходах областного бюджета в сумме </w:t>
      </w:r>
      <w:r>
        <w:rPr>
          <w:rFonts w:ascii="Times New Roman" w:hAnsi="Times New Roman" w:cs="Times New Roman"/>
          <w:sz w:val="24"/>
          <w:szCs w:val="24"/>
        </w:rPr>
        <w:t>1865,1</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0,5 процента.</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 плановых назначений.</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Расходы на организацию и проведение мероприятий по реализации государственной подпрограммы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исполнены в полном объеме </w:t>
      </w:r>
      <w:r>
        <w:rPr>
          <w:rFonts w:ascii="Times New Roman" w:hAnsi="Times New Roman" w:cs="Times New Roman"/>
          <w:sz w:val="24"/>
          <w:szCs w:val="24"/>
        </w:rPr>
        <w:t>–</w:t>
      </w:r>
      <w:r w:rsidRPr="001A299F">
        <w:rPr>
          <w:rFonts w:ascii="Times New Roman" w:hAnsi="Times New Roman" w:cs="Times New Roman"/>
          <w:sz w:val="24"/>
          <w:szCs w:val="24"/>
        </w:rPr>
        <w:t xml:space="preserve"> </w:t>
      </w:r>
      <w:r>
        <w:rPr>
          <w:rFonts w:ascii="Times New Roman" w:hAnsi="Times New Roman" w:cs="Times New Roman"/>
          <w:sz w:val="24"/>
          <w:szCs w:val="24"/>
        </w:rPr>
        <w:t>539,9</w:t>
      </w:r>
      <w:r w:rsidRPr="001A299F">
        <w:rPr>
          <w:rFonts w:ascii="Times New Roman" w:hAnsi="Times New Roman" w:cs="Times New Roman"/>
          <w:sz w:val="24"/>
          <w:szCs w:val="24"/>
        </w:rPr>
        <w:t xml:space="preserve"> тыс. рублей.</w:t>
      </w:r>
    </w:p>
    <w:p w:rsidR="009C45F8" w:rsidRDefault="009C45F8" w:rsidP="009C45F8">
      <w:pPr>
        <w:spacing w:after="0" w:line="240" w:lineRule="auto"/>
        <w:ind w:firstLine="709"/>
        <w:jc w:val="both"/>
        <w:rPr>
          <w:rFonts w:ascii="Times New Roman" w:eastAsia="Times New Roman" w:hAnsi="Times New Roman" w:cs="Times New Roman"/>
          <w:i/>
          <w:sz w:val="24"/>
          <w:szCs w:val="24"/>
          <w:lang w:eastAsia="ru-RU"/>
        </w:rPr>
      </w:pPr>
      <w:r w:rsidRPr="001A299F">
        <w:rPr>
          <w:rFonts w:ascii="Times New Roman" w:hAnsi="Times New Roman" w:cs="Times New Roman"/>
          <w:sz w:val="24"/>
          <w:szCs w:val="24"/>
        </w:rPr>
        <w:t xml:space="preserve">На поддержку экономического и социального развития коренных малочисленных народов Севера, Сибири и Дальнего Востока направлено </w:t>
      </w:r>
      <w:r>
        <w:rPr>
          <w:rFonts w:ascii="Times New Roman" w:hAnsi="Times New Roman" w:cs="Times New Roman"/>
          <w:sz w:val="24"/>
          <w:szCs w:val="24"/>
        </w:rPr>
        <w:t>1325,2</w:t>
      </w:r>
      <w:r w:rsidRPr="001A299F">
        <w:rPr>
          <w:rFonts w:ascii="Times New Roman" w:hAnsi="Times New Roman" w:cs="Times New Roman"/>
          <w:sz w:val="24"/>
          <w:szCs w:val="24"/>
        </w:rPr>
        <w:t xml:space="preserve"> тыс. рублей, или </w:t>
      </w:r>
      <w:r w:rsidRPr="001A299F">
        <w:rPr>
          <w:rFonts w:ascii="Times New Roman" w:hAnsi="Times New Roman" w:cs="Times New Roman"/>
          <w:sz w:val="24"/>
          <w:szCs w:val="24"/>
        </w:rPr>
        <w:br/>
        <w:t>100,0 процентов плановых назначений</w:t>
      </w:r>
      <w:r w:rsidRPr="001A299F">
        <w:rPr>
          <w:rFonts w:ascii="Times New Roman" w:eastAsia="Times New Roman" w:hAnsi="Times New Roman" w:cs="Times New Roman"/>
          <w:i/>
          <w:sz w:val="24"/>
          <w:szCs w:val="24"/>
          <w:lang w:eastAsia="ru-RU"/>
        </w:rPr>
        <w:t>.</w:t>
      </w:r>
    </w:p>
    <w:p w:rsidR="009C45F8" w:rsidRPr="001A299F" w:rsidRDefault="009C45F8" w:rsidP="00F27828">
      <w:pPr>
        <w:widowControl w:val="0"/>
        <w:autoSpaceDE w:val="0"/>
        <w:autoSpaceDN w:val="0"/>
        <w:adjustRightInd w:val="0"/>
        <w:spacing w:before="120" w:after="0" w:line="240" w:lineRule="auto"/>
        <w:ind w:left="72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«Библиотечное обслуживание»</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«Библиотечное обслуживание» утверждены в расходах областного бюджета в сумме </w:t>
      </w:r>
      <w:r>
        <w:rPr>
          <w:rFonts w:ascii="Times New Roman" w:hAnsi="Times New Roman" w:cs="Times New Roman"/>
          <w:sz w:val="24"/>
          <w:szCs w:val="24"/>
        </w:rPr>
        <w:t>34031,4</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t>9</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100,0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 xml:space="preserve"> плановых назначений.</w:t>
      </w:r>
    </w:p>
    <w:p w:rsidR="009C45F8"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осуществлялось финансирование программного мероприятия – обеспечение деятельности (оказание услуг) государственных учреждений.</w:t>
      </w:r>
    </w:p>
    <w:p w:rsidR="009C45F8" w:rsidRPr="001A299F" w:rsidRDefault="009C45F8" w:rsidP="00F27828">
      <w:pPr>
        <w:widowControl w:val="0"/>
        <w:autoSpaceDE w:val="0"/>
        <w:autoSpaceDN w:val="0"/>
        <w:adjustRightInd w:val="0"/>
        <w:spacing w:after="0" w:line="240" w:lineRule="auto"/>
        <w:ind w:left="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«Мероприятия в сфере культуры и искусства»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«Мероприятия в сфере культуры и искусства» утверждены в расходах областного бюджета в сумме </w:t>
      </w:r>
      <w:r>
        <w:rPr>
          <w:rFonts w:ascii="Times New Roman" w:hAnsi="Times New Roman" w:cs="Times New Roman"/>
          <w:sz w:val="24"/>
          <w:szCs w:val="24"/>
        </w:rPr>
        <w:t>63066,2</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w:t>
      </w:r>
      <w:r>
        <w:rPr>
          <w:rFonts w:ascii="Times New Roman" w:hAnsi="Times New Roman" w:cs="Times New Roman"/>
          <w:sz w:val="24"/>
          <w:szCs w:val="24"/>
        </w:rPr>
        <w:t xml:space="preserve"> 17</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w:t>
      </w:r>
    </w:p>
    <w:p w:rsidR="009C45F8" w:rsidRDefault="009C45F8" w:rsidP="009C45F8">
      <w:pPr>
        <w:spacing w:after="0" w:line="240" w:lineRule="auto"/>
        <w:ind w:firstLine="709"/>
        <w:jc w:val="both"/>
        <w:rPr>
          <w:rFonts w:ascii="Times New Roman" w:hAnsi="Times New Roman" w:cs="Times New Roman"/>
          <w:sz w:val="24"/>
          <w:szCs w:val="24"/>
        </w:rPr>
      </w:pPr>
      <w:r w:rsidRPr="007C1E8D">
        <w:rPr>
          <w:rFonts w:ascii="Times New Roman" w:hAnsi="Times New Roman" w:cs="Times New Roman"/>
          <w:sz w:val="24"/>
          <w:szCs w:val="24"/>
        </w:rPr>
        <w:t>На организацию и проведение мероприятий по реализации государственной подпрограммы в 201</w:t>
      </w:r>
      <w:r>
        <w:rPr>
          <w:rFonts w:ascii="Times New Roman" w:hAnsi="Times New Roman" w:cs="Times New Roman"/>
          <w:sz w:val="24"/>
          <w:szCs w:val="24"/>
        </w:rPr>
        <w:t>7</w:t>
      </w:r>
      <w:r w:rsidRPr="007C1E8D">
        <w:rPr>
          <w:rFonts w:ascii="Times New Roman" w:hAnsi="Times New Roman" w:cs="Times New Roman"/>
          <w:sz w:val="24"/>
          <w:szCs w:val="24"/>
        </w:rPr>
        <w:t xml:space="preserve"> году направлено </w:t>
      </w:r>
      <w:r>
        <w:rPr>
          <w:rFonts w:ascii="Times New Roman" w:hAnsi="Times New Roman" w:cs="Times New Roman"/>
          <w:sz w:val="24"/>
          <w:szCs w:val="24"/>
        </w:rPr>
        <w:t>63049,7</w:t>
      </w:r>
      <w:r w:rsidRPr="007C1E8D">
        <w:rPr>
          <w:rFonts w:ascii="Times New Roman" w:hAnsi="Times New Roman" w:cs="Times New Roman"/>
          <w:sz w:val="24"/>
          <w:szCs w:val="24"/>
        </w:rPr>
        <w:t xml:space="preserve"> тыс. рублей, или 99,</w:t>
      </w:r>
      <w:r>
        <w:rPr>
          <w:rFonts w:ascii="Times New Roman" w:hAnsi="Times New Roman" w:cs="Times New Roman"/>
          <w:sz w:val="24"/>
          <w:szCs w:val="24"/>
        </w:rPr>
        <w:t>9</w:t>
      </w:r>
      <w:r w:rsidRPr="007C1E8D">
        <w:rPr>
          <w:rFonts w:ascii="Times New Roman" w:hAnsi="Times New Roman" w:cs="Times New Roman"/>
          <w:sz w:val="24"/>
          <w:szCs w:val="24"/>
        </w:rPr>
        <w:t xml:space="preserve"> процента плановых назначений.</w:t>
      </w:r>
    </w:p>
    <w:p w:rsidR="009C45F8" w:rsidRPr="001A299F" w:rsidRDefault="009C45F8" w:rsidP="00F27828">
      <w:pPr>
        <w:widowControl w:val="0"/>
        <w:autoSpaceDE w:val="0"/>
        <w:autoSpaceDN w:val="0"/>
        <w:adjustRightInd w:val="0"/>
        <w:spacing w:before="120" w:after="0" w:line="240" w:lineRule="auto"/>
        <w:ind w:left="720"/>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в сумме </w:t>
      </w:r>
      <w:r>
        <w:rPr>
          <w:rFonts w:ascii="Times New Roman" w:hAnsi="Times New Roman" w:cs="Times New Roman"/>
          <w:sz w:val="24"/>
          <w:szCs w:val="24"/>
        </w:rPr>
        <w:t>71620,8</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19,7</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 плановых назначений.</w:t>
      </w:r>
    </w:p>
    <w:p w:rsidR="009C45F8" w:rsidRPr="00651AFE"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 xml:space="preserve">Наибольший объем бюджетных ассигнований, предусмотренных на реализацию данной подпрограммы, приходится на </w:t>
      </w:r>
      <w:r>
        <w:rPr>
          <w:rFonts w:ascii="Times New Roman" w:eastAsia="Times New Roman" w:hAnsi="Times New Roman" w:cs="Times New Roman"/>
          <w:sz w:val="24"/>
          <w:szCs w:val="24"/>
          <w:lang w:eastAsia="ru-RU"/>
        </w:rPr>
        <w:t>следующие м</w:t>
      </w:r>
      <w:r w:rsidRPr="001A299F">
        <w:rPr>
          <w:rFonts w:ascii="Times New Roman" w:hAnsi="Times New Roman" w:cs="Times New Roman"/>
          <w:sz w:val="24"/>
          <w:szCs w:val="24"/>
        </w:rPr>
        <w:t>ероприяти</w:t>
      </w:r>
      <w:r>
        <w:rPr>
          <w:rFonts w:ascii="Times New Roman" w:hAnsi="Times New Roman" w:cs="Times New Roman"/>
          <w:sz w:val="24"/>
          <w:szCs w:val="24"/>
        </w:rPr>
        <w:t>я</w:t>
      </w:r>
      <w:r w:rsidRPr="001A299F">
        <w:rPr>
          <w:rFonts w:ascii="Times New Roman" w:hAnsi="Times New Roman" w:cs="Times New Roman"/>
          <w:sz w:val="24"/>
          <w:szCs w:val="24"/>
        </w:rPr>
        <w:t xml:space="preserve"> подпрограммы</w:t>
      </w:r>
      <w:r w:rsidRPr="00651AFE">
        <w:rPr>
          <w:rFonts w:ascii="Times New Roman" w:hAnsi="Times New Roman" w:cs="Times New Roman"/>
          <w:sz w:val="24"/>
          <w:szCs w:val="24"/>
        </w:rPr>
        <w:t>:</w:t>
      </w:r>
    </w:p>
    <w:p w:rsidR="009C45F8" w:rsidRPr="00651AFE" w:rsidRDefault="009C45F8" w:rsidP="009C45F8">
      <w:pPr>
        <w:spacing w:after="0" w:line="240" w:lineRule="auto"/>
        <w:ind w:firstLine="709"/>
        <w:jc w:val="both"/>
        <w:rPr>
          <w:rFonts w:ascii="Times New Roman" w:hAnsi="Times New Roman" w:cs="Times New Roman"/>
          <w:sz w:val="24"/>
          <w:szCs w:val="24"/>
        </w:rPr>
      </w:pPr>
      <w:r w:rsidRPr="00651AFE">
        <w:rPr>
          <w:rFonts w:ascii="Times New Roman" w:hAnsi="Times New Roman" w:cs="Times New Roman"/>
          <w:sz w:val="24"/>
          <w:szCs w:val="24"/>
        </w:rPr>
        <w:t>-</w:t>
      </w:r>
      <w:r>
        <w:rPr>
          <w:rFonts w:ascii="Times New Roman" w:hAnsi="Times New Roman" w:cs="Times New Roman"/>
          <w:sz w:val="24"/>
          <w:szCs w:val="24"/>
        </w:rPr>
        <w:t>обеспечение функций  исполнительных органов государственной  власти –</w:t>
      </w:r>
      <w:r w:rsidRPr="00651AFE">
        <w:rPr>
          <w:rFonts w:ascii="Times New Roman" w:hAnsi="Times New Roman" w:cs="Times New Roman"/>
          <w:sz w:val="24"/>
          <w:szCs w:val="24"/>
        </w:rPr>
        <w:br/>
      </w:r>
      <w:r>
        <w:rPr>
          <w:rFonts w:ascii="Times New Roman" w:hAnsi="Times New Roman" w:cs="Times New Roman"/>
          <w:sz w:val="24"/>
          <w:szCs w:val="24"/>
        </w:rPr>
        <w:t xml:space="preserve"> 25512,4 тыс. рублей, </w:t>
      </w:r>
      <w:r w:rsidRPr="001A299F">
        <w:rPr>
          <w:rFonts w:ascii="Times New Roman" w:hAnsi="Times New Roman" w:cs="Times New Roman"/>
          <w:sz w:val="24"/>
          <w:szCs w:val="24"/>
        </w:rPr>
        <w:t>исполнен</w:t>
      </w:r>
      <w:r>
        <w:rPr>
          <w:rFonts w:ascii="Times New Roman" w:hAnsi="Times New Roman" w:cs="Times New Roman"/>
          <w:sz w:val="24"/>
          <w:szCs w:val="24"/>
        </w:rPr>
        <w:t xml:space="preserve">ие составляет 25238,6 </w:t>
      </w:r>
      <w:r w:rsidRPr="001A299F">
        <w:rPr>
          <w:rFonts w:ascii="Times New Roman" w:hAnsi="Times New Roman" w:cs="Times New Roman"/>
          <w:sz w:val="24"/>
          <w:szCs w:val="24"/>
        </w:rPr>
        <w:t>тыс. рублей</w:t>
      </w:r>
      <w:r>
        <w:rPr>
          <w:rFonts w:ascii="Times New Roman" w:hAnsi="Times New Roman" w:cs="Times New Roman"/>
          <w:sz w:val="24"/>
          <w:szCs w:val="24"/>
        </w:rPr>
        <w:t>, или 98,9 процента плановых назначений</w:t>
      </w:r>
      <w:r w:rsidRPr="00651AFE">
        <w:rPr>
          <w:rFonts w:ascii="Times New Roman" w:hAnsi="Times New Roman" w:cs="Times New Roman"/>
          <w:sz w:val="24"/>
          <w:szCs w:val="24"/>
        </w:rPr>
        <w:t>;</w:t>
      </w:r>
    </w:p>
    <w:p w:rsidR="009C45F8" w:rsidRPr="00651AFE" w:rsidRDefault="009C45F8" w:rsidP="009C45F8">
      <w:pPr>
        <w:spacing w:after="0" w:line="240" w:lineRule="auto"/>
        <w:ind w:firstLine="709"/>
        <w:jc w:val="both"/>
        <w:rPr>
          <w:rFonts w:ascii="Times New Roman" w:hAnsi="Times New Roman" w:cs="Times New Roman"/>
          <w:sz w:val="24"/>
          <w:szCs w:val="24"/>
        </w:rPr>
      </w:pPr>
      <w:r w:rsidRPr="00651AFE">
        <w:rPr>
          <w:rFonts w:ascii="Times New Roman" w:hAnsi="Times New Roman" w:cs="Times New Roman"/>
          <w:sz w:val="24"/>
          <w:szCs w:val="24"/>
        </w:rPr>
        <w:lastRenderedPageBreak/>
        <w:t>-</w:t>
      </w:r>
      <w:r>
        <w:rPr>
          <w:rFonts w:ascii="Times New Roman" w:hAnsi="Times New Roman" w:cs="Times New Roman"/>
          <w:sz w:val="24"/>
          <w:szCs w:val="24"/>
        </w:rPr>
        <w:t xml:space="preserve">обеспечение деятельности (оказание услуг) государственных учреждений </w:t>
      </w:r>
      <w:r w:rsidRPr="00651AFE">
        <w:rPr>
          <w:rFonts w:ascii="Times New Roman" w:hAnsi="Times New Roman" w:cs="Times New Roman"/>
          <w:sz w:val="24"/>
          <w:szCs w:val="24"/>
        </w:rPr>
        <w:t xml:space="preserve">– </w:t>
      </w:r>
      <w:r>
        <w:rPr>
          <w:rFonts w:ascii="Times New Roman" w:hAnsi="Times New Roman" w:cs="Times New Roman"/>
          <w:sz w:val="24"/>
          <w:szCs w:val="24"/>
        </w:rPr>
        <w:br/>
      </w:r>
      <w:r w:rsidRPr="00651AFE">
        <w:rPr>
          <w:rFonts w:ascii="Times New Roman" w:hAnsi="Times New Roman" w:cs="Times New Roman"/>
          <w:sz w:val="24"/>
          <w:szCs w:val="24"/>
        </w:rPr>
        <w:t>14628</w:t>
      </w:r>
      <w:r>
        <w:rPr>
          <w:rFonts w:ascii="Times New Roman" w:hAnsi="Times New Roman" w:cs="Times New Roman"/>
          <w:sz w:val="24"/>
          <w:szCs w:val="24"/>
        </w:rPr>
        <w:t>,</w:t>
      </w:r>
      <w:r w:rsidRPr="00651AFE">
        <w:rPr>
          <w:rFonts w:ascii="Times New Roman" w:hAnsi="Times New Roman" w:cs="Times New Roman"/>
          <w:sz w:val="24"/>
          <w:szCs w:val="24"/>
        </w:rPr>
        <w:t xml:space="preserve">9 </w:t>
      </w:r>
      <w:r>
        <w:rPr>
          <w:rFonts w:ascii="Times New Roman" w:hAnsi="Times New Roman" w:cs="Times New Roman"/>
          <w:sz w:val="24"/>
          <w:szCs w:val="24"/>
        </w:rPr>
        <w:t>тыс. рублей, исполнение составляет 14628,9 тыс. рублей, или 100,0 процентов плановых назначений</w:t>
      </w:r>
      <w:r w:rsidRPr="00651AFE">
        <w:rPr>
          <w:rFonts w:ascii="Times New Roman" w:hAnsi="Times New Roman" w:cs="Times New Roman"/>
          <w:sz w:val="24"/>
          <w:szCs w:val="24"/>
        </w:rPr>
        <w:t>;</w:t>
      </w:r>
    </w:p>
    <w:p w:rsidR="009C45F8" w:rsidRPr="00651AFE" w:rsidRDefault="00F27828" w:rsidP="00F27828">
      <w:pPr>
        <w:pStyle w:val="afa"/>
        <w:ind w:left="0" w:firstLine="709"/>
        <w:jc w:val="both"/>
        <w:rPr>
          <w:sz w:val="24"/>
          <w:szCs w:val="24"/>
        </w:rPr>
      </w:pPr>
      <w:r>
        <w:rPr>
          <w:sz w:val="24"/>
          <w:szCs w:val="24"/>
        </w:rPr>
        <w:t>-</w:t>
      </w:r>
      <w:r w:rsidR="009C45F8">
        <w:rPr>
          <w:sz w:val="24"/>
          <w:szCs w:val="24"/>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(обеспечение развития и укрепления материально-технической базы муниципальных домов культуры) – 16362,4 тыс. рублей, исполнение составляет – 16362,4 тыс. рублей, или 100,0 процентов плановых назначений</w:t>
      </w:r>
      <w:r w:rsidR="009C45F8" w:rsidRPr="00651AFE">
        <w:rPr>
          <w:sz w:val="24"/>
          <w:szCs w:val="24"/>
        </w:rPr>
        <w:t>;</w:t>
      </w:r>
    </w:p>
    <w:p w:rsidR="009C45F8" w:rsidRPr="00651AFE" w:rsidRDefault="00F27828" w:rsidP="00F27828">
      <w:pPr>
        <w:pStyle w:val="afa"/>
        <w:tabs>
          <w:tab w:val="left" w:pos="993"/>
        </w:tabs>
        <w:ind w:left="0" w:firstLine="709"/>
        <w:jc w:val="both"/>
        <w:rPr>
          <w:sz w:val="24"/>
          <w:szCs w:val="24"/>
        </w:rPr>
      </w:pPr>
      <w:r>
        <w:rPr>
          <w:sz w:val="24"/>
          <w:szCs w:val="24"/>
        </w:rPr>
        <w:t>-</w:t>
      </w:r>
      <w:r w:rsidR="009C45F8" w:rsidRPr="00651AFE">
        <w:rPr>
          <w:sz w:val="24"/>
          <w:szCs w:val="24"/>
        </w:rPr>
        <w:t>капитальные вложения в объекты муниципальной собственности</w:t>
      </w:r>
      <w:r w:rsidR="009C45F8">
        <w:rPr>
          <w:sz w:val="24"/>
          <w:szCs w:val="24"/>
        </w:rPr>
        <w:t xml:space="preserve"> – 7016,9 тыс. рублей,</w:t>
      </w:r>
      <w:r w:rsidR="009C45F8" w:rsidRPr="00651AFE">
        <w:rPr>
          <w:sz w:val="24"/>
          <w:szCs w:val="24"/>
        </w:rPr>
        <w:t xml:space="preserve"> исполнен</w:t>
      </w:r>
      <w:r w:rsidR="009C45F8">
        <w:rPr>
          <w:sz w:val="24"/>
          <w:szCs w:val="24"/>
        </w:rPr>
        <w:t>ие составляет</w:t>
      </w:r>
      <w:r w:rsidR="009C45F8" w:rsidRPr="00651AFE">
        <w:rPr>
          <w:sz w:val="24"/>
          <w:szCs w:val="24"/>
        </w:rPr>
        <w:t xml:space="preserve"> 6762,5 тыс. рублей, или 96,4 процента плановых назначений;</w:t>
      </w:r>
    </w:p>
    <w:p w:rsidR="009C45F8" w:rsidRPr="00F27828" w:rsidRDefault="00F27828" w:rsidP="00F27828">
      <w:pPr>
        <w:tabs>
          <w:tab w:val="left" w:pos="993"/>
        </w:tabs>
        <w:spacing w:after="0" w:line="240" w:lineRule="auto"/>
        <w:ind w:firstLine="709"/>
        <w:jc w:val="both"/>
        <w:rPr>
          <w:rFonts w:ascii="Times New Roman" w:hAnsi="Times New Roman" w:cs="Times New Roman"/>
          <w:sz w:val="24"/>
          <w:szCs w:val="24"/>
        </w:rPr>
      </w:pPr>
      <w:r w:rsidRPr="00F27828">
        <w:rPr>
          <w:rFonts w:ascii="Times New Roman" w:hAnsi="Times New Roman" w:cs="Times New Roman"/>
          <w:sz w:val="24"/>
          <w:szCs w:val="24"/>
        </w:rPr>
        <w:t>-</w:t>
      </w:r>
      <w:r w:rsidR="009C45F8" w:rsidRPr="00F27828">
        <w:rPr>
          <w:rFonts w:ascii="Times New Roman" w:hAnsi="Times New Roman" w:cs="Times New Roman"/>
          <w:sz w:val="24"/>
          <w:szCs w:val="24"/>
        </w:rPr>
        <w:t xml:space="preserve">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(поддержка творческой деятельности муниципальных театров в городах с численностью населения до 300 тысяч человек) – </w:t>
      </w:r>
      <w:r>
        <w:rPr>
          <w:rFonts w:ascii="Times New Roman" w:hAnsi="Times New Roman" w:cs="Times New Roman"/>
          <w:sz w:val="24"/>
          <w:szCs w:val="24"/>
        </w:rPr>
        <w:br/>
      </w:r>
      <w:r w:rsidR="009C45F8" w:rsidRPr="00F27828">
        <w:rPr>
          <w:rFonts w:ascii="Times New Roman" w:hAnsi="Times New Roman" w:cs="Times New Roman"/>
          <w:sz w:val="24"/>
          <w:szCs w:val="24"/>
        </w:rPr>
        <w:t xml:space="preserve">5990,0 тыс. рублей, исполнение составляет 5990,0 тыс. рублей, или 100,0 процентов плановых назначений. </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Основные направления исполнения расходов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«Развитие и сохранение культуры и искусства Амурской области на 2014-2020 годы» представлены </w:t>
      </w:r>
      <w:r w:rsidRPr="00614C10">
        <w:rPr>
          <w:rFonts w:ascii="Times New Roman" w:eastAsia="Times New Roman" w:hAnsi="Times New Roman" w:cs="Times New Roman"/>
          <w:sz w:val="24"/>
          <w:szCs w:val="24"/>
          <w:lang w:eastAsia="ru-RU"/>
        </w:rPr>
        <w:t xml:space="preserve">на </w:t>
      </w:r>
      <w:r w:rsidRPr="00F27828">
        <w:rPr>
          <w:rFonts w:ascii="Times New Roman" w:eastAsia="Times New Roman" w:hAnsi="Times New Roman" w:cs="Times New Roman"/>
          <w:sz w:val="24"/>
          <w:szCs w:val="24"/>
          <w:lang w:eastAsia="ru-RU"/>
        </w:rPr>
        <w:t>рисунке 2</w:t>
      </w:r>
      <w:r w:rsidR="00F27828" w:rsidRPr="00F27828">
        <w:rPr>
          <w:rFonts w:ascii="Times New Roman" w:eastAsia="Times New Roman" w:hAnsi="Times New Roman" w:cs="Times New Roman"/>
          <w:sz w:val="24"/>
          <w:szCs w:val="24"/>
          <w:lang w:eastAsia="ru-RU"/>
        </w:rPr>
        <w:t>3</w:t>
      </w:r>
      <w:r w:rsidRPr="00F27828">
        <w:rPr>
          <w:rFonts w:ascii="Times New Roman" w:eastAsia="Times New Roman" w:hAnsi="Times New Roman" w:cs="Times New Roman"/>
          <w:sz w:val="24"/>
          <w:szCs w:val="24"/>
          <w:lang w:eastAsia="ru-RU"/>
        </w:rPr>
        <w:t>.</w:t>
      </w:r>
    </w:p>
    <w:p w:rsidR="00F27828" w:rsidRPr="00F27828" w:rsidRDefault="00F27828" w:rsidP="009C45F8">
      <w:pPr>
        <w:spacing w:after="0" w:line="240" w:lineRule="auto"/>
        <w:ind w:firstLine="709"/>
        <w:jc w:val="both"/>
        <w:rPr>
          <w:rFonts w:ascii="Times New Roman" w:eastAsia="Times New Roman" w:hAnsi="Times New Roman" w:cs="Times New Roman"/>
          <w:sz w:val="24"/>
          <w:szCs w:val="24"/>
          <w:lang w:eastAsia="ru-RU"/>
        </w:rPr>
      </w:pPr>
    </w:p>
    <w:p w:rsidR="009C45F8" w:rsidRPr="001A299F" w:rsidRDefault="009C45F8" w:rsidP="009C45F8">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5ED99D67" wp14:editId="5D7853AE">
            <wp:extent cx="6142008" cy="4106173"/>
            <wp:effectExtent l="0" t="0" r="0" b="889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C45F8" w:rsidRDefault="009C45F8" w:rsidP="009C45F8">
      <w:pPr>
        <w:spacing w:after="0" w:line="240" w:lineRule="auto"/>
        <w:ind w:firstLine="709"/>
        <w:jc w:val="center"/>
        <w:rPr>
          <w:rFonts w:ascii="Times New Roman" w:hAnsi="Times New Roman" w:cs="Times New Roman"/>
          <w:b/>
          <w:sz w:val="24"/>
          <w:szCs w:val="24"/>
        </w:rPr>
      </w:pPr>
    </w:p>
    <w:p w:rsidR="009C45F8" w:rsidRPr="001A299F" w:rsidRDefault="009C45F8" w:rsidP="009C45F8">
      <w:pPr>
        <w:spacing w:after="0" w:line="240" w:lineRule="auto"/>
        <w:ind w:firstLine="709"/>
        <w:jc w:val="center"/>
        <w:rPr>
          <w:rFonts w:ascii="Times New Roman" w:hAnsi="Times New Roman" w:cs="Times New Roman"/>
          <w:b/>
          <w:sz w:val="24"/>
          <w:szCs w:val="24"/>
        </w:rPr>
      </w:pPr>
      <w:r w:rsidRPr="00F27828">
        <w:rPr>
          <w:rFonts w:ascii="Times New Roman" w:hAnsi="Times New Roman" w:cs="Times New Roman"/>
          <w:b/>
          <w:sz w:val="24"/>
          <w:szCs w:val="24"/>
        </w:rPr>
        <w:t>Рис. 2</w:t>
      </w:r>
      <w:r w:rsidR="00F27828" w:rsidRPr="00F27828">
        <w:rPr>
          <w:rFonts w:ascii="Times New Roman" w:hAnsi="Times New Roman" w:cs="Times New Roman"/>
          <w:b/>
          <w:sz w:val="24"/>
          <w:szCs w:val="24"/>
        </w:rPr>
        <w:t>3</w:t>
      </w:r>
      <w:r w:rsidRPr="00F27828">
        <w:rPr>
          <w:rFonts w:ascii="Times New Roman" w:hAnsi="Times New Roman" w:cs="Times New Roman"/>
          <w:b/>
          <w:sz w:val="24"/>
          <w:szCs w:val="24"/>
        </w:rPr>
        <w:t xml:space="preserve"> </w:t>
      </w:r>
      <w:r w:rsidRPr="00BB260A">
        <w:rPr>
          <w:rFonts w:ascii="Times New Roman" w:hAnsi="Times New Roman" w:cs="Times New Roman"/>
          <w:b/>
          <w:sz w:val="24"/>
          <w:szCs w:val="24"/>
        </w:rPr>
        <w:t xml:space="preserve">- </w:t>
      </w:r>
      <w:r w:rsidRPr="00614C10">
        <w:rPr>
          <w:rFonts w:ascii="Times New Roman" w:hAnsi="Times New Roman" w:cs="Times New Roman"/>
          <w:b/>
          <w:sz w:val="24"/>
          <w:szCs w:val="24"/>
        </w:rPr>
        <w:t xml:space="preserve">Основные </w:t>
      </w:r>
      <w:r w:rsidRPr="001A299F">
        <w:rPr>
          <w:rFonts w:ascii="Times New Roman" w:hAnsi="Times New Roman" w:cs="Times New Roman"/>
          <w:b/>
          <w:sz w:val="24"/>
          <w:szCs w:val="24"/>
        </w:rPr>
        <w:t xml:space="preserve">направления исполнения </w:t>
      </w:r>
      <w:r>
        <w:rPr>
          <w:rFonts w:ascii="Times New Roman" w:hAnsi="Times New Roman" w:cs="Times New Roman"/>
          <w:b/>
          <w:sz w:val="24"/>
          <w:szCs w:val="24"/>
        </w:rPr>
        <w:t>расходов областного бюджета за</w:t>
      </w:r>
      <w:r>
        <w:rPr>
          <w:rFonts w:ascii="Times New Roman" w:hAnsi="Times New Roman" w:cs="Times New Roman"/>
          <w:b/>
          <w:sz w:val="24"/>
          <w:szCs w:val="24"/>
        </w:rPr>
        <w:br/>
      </w:r>
      <w:r w:rsidRPr="001A299F">
        <w:rPr>
          <w:rFonts w:ascii="Times New Roman" w:hAnsi="Times New Roman" w:cs="Times New Roman"/>
          <w:b/>
          <w:sz w:val="24"/>
          <w:szCs w:val="24"/>
        </w:rPr>
        <w:t>201</w:t>
      </w:r>
      <w:r>
        <w:rPr>
          <w:rFonts w:ascii="Times New Roman" w:hAnsi="Times New Roman" w:cs="Times New Roman"/>
          <w:b/>
          <w:sz w:val="24"/>
          <w:szCs w:val="24"/>
        </w:rPr>
        <w:t>7</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«Развитие и сохранение культуры и искусства Амурской области на 2014-2020 годы», млн. руб.</w:t>
      </w:r>
    </w:p>
    <w:p w:rsidR="009C45F8"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бюджетные ассигнования по государственной программе </w:t>
      </w:r>
      <w:r w:rsidRPr="001A299F">
        <w:rPr>
          <w:rFonts w:ascii="Times New Roman" w:eastAsia="Times New Roman" w:hAnsi="Times New Roman" w:cs="Times New Roman"/>
          <w:sz w:val="24"/>
          <w:szCs w:val="24"/>
          <w:lang w:eastAsia="ru-RU"/>
        </w:rPr>
        <w:t>«Развитие и сохранение культуры и искусства Амурской области на 2014-2020 годы»</w:t>
      </w:r>
      <w:r w:rsidRPr="001A299F">
        <w:rPr>
          <w:rFonts w:ascii="Times New Roman" w:hAnsi="Times New Roman" w:cs="Times New Roman"/>
          <w:sz w:val="24"/>
          <w:szCs w:val="24"/>
        </w:rPr>
        <w:t xml:space="preserve"> отражены в разрезе подпрограмм и мероприятий в объемах, утвержденных сводной бюджетной росписью на </w:t>
      </w:r>
      <w:r w:rsidRPr="001A299F">
        <w:rPr>
          <w:rFonts w:ascii="Times New Roman" w:hAnsi="Times New Roman" w:cs="Times New Roman"/>
          <w:sz w:val="24"/>
          <w:szCs w:val="24"/>
        </w:rPr>
        <w:lastRenderedPageBreak/>
        <w:t>201</w:t>
      </w:r>
      <w:r>
        <w:rPr>
          <w:rFonts w:ascii="Times New Roman" w:hAnsi="Times New Roman" w:cs="Times New Roman"/>
          <w:sz w:val="24"/>
          <w:szCs w:val="24"/>
        </w:rPr>
        <w:t>7</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государственной программе </w:t>
      </w:r>
      <w:r w:rsidRPr="001A299F">
        <w:rPr>
          <w:rFonts w:ascii="Times New Roman" w:eastAsia="Times New Roman" w:hAnsi="Times New Roman" w:cs="Times New Roman"/>
          <w:sz w:val="24"/>
          <w:szCs w:val="24"/>
          <w:lang w:eastAsia="ru-RU"/>
        </w:rPr>
        <w:t xml:space="preserve">«Развитие и сохранение культуры и искусства Амурской области на 2014-2020 годы» </w:t>
      </w:r>
      <w:r>
        <w:rPr>
          <w:rFonts w:ascii="Times New Roman" w:eastAsia="Times New Roman" w:hAnsi="Times New Roman" w:cs="Times New Roman"/>
          <w:sz w:val="24"/>
          <w:szCs w:val="24"/>
          <w:lang w:eastAsia="ru-RU"/>
        </w:rPr>
        <w:t>в 2017 практически по всем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Вместе с тем,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w:t>
      </w:r>
      <w:r w:rsidRPr="00495903">
        <w:rPr>
          <w:rFonts w:ascii="Times New Roman" w:eastAsia="Times New Roman" w:hAnsi="Times New Roman" w:cs="Times New Roman"/>
          <w:sz w:val="24"/>
          <w:szCs w:val="24"/>
          <w:lang w:eastAsia="ru-RU"/>
        </w:rPr>
        <w:t>:</w:t>
      </w:r>
    </w:p>
    <w:p w:rsidR="009C45F8" w:rsidRDefault="009C45F8" w:rsidP="00124114">
      <w:pPr>
        <w:pStyle w:val="afa"/>
        <w:numPr>
          <w:ilvl w:val="0"/>
          <w:numId w:val="11"/>
        </w:numPr>
        <w:tabs>
          <w:tab w:val="left" w:pos="426"/>
          <w:tab w:val="left" w:pos="1134"/>
        </w:tabs>
        <w:ind w:left="0" w:firstLine="709"/>
        <w:jc w:val="both"/>
        <w:rPr>
          <w:i/>
          <w:sz w:val="24"/>
          <w:szCs w:val="24"/>
        </w:rPr>
      </w:pPr>
      <w:r w:rsidRPr="0088496C">
        <w:rPr>
          <w:sz w:val="24"/>
          <w:szCs w:val="24"/>
        </w:rPr>
        <w:t>Доля театральных мероприятий для детей в общем количестве мероприятий</w:t>
      </w:r>
      <w:r>
        <w:rPr>
          <w:sz w:val="24"/>
          <w:szCs w:val="24"/>
        </w:rPr>
        <w:t xml:space="preserve"> </w:t>
      </w:r>
      <w:r w:rsidR="001A4229">
        <w:rPr>
          <w:sz w:val="24"/>
          <w:szCs w:val="24"/>
        </w:rPr>
        <w:br/>
      </w:r>
      <w:r>
        <w:rPr>
          <w:sz w:val="24"/>
          <w:szCs w:val="24"/>
        </w:rPr>
        <w:t xml:space="preserve">(в процентах), уровень достижения показателя составляет 97,4 процента (плановый </w:t>
      </w:r>
      <w:r>
        <w:rPr>
          <w:sz w:val="24"/>
          <w:szCs w:val="24"/>
        </w:rPr>
        <w:br/>
        <w:t xml:space="preserve">показатель – 74,1 процента, фактически достигнутый показатель – 72,2 процента, причина недостижения показателя - </w:t>
      </w:r>
      <w:r w:rsidRPr="0088496C">
        <w:rPr>
          <w:sz w:val="24"/>
          <w:szCs w:val="24"/>
        </w:rPr>
        <w:t xml:space="preserve"> эпидемиологическ</w:t>
      </w:r>
      <w:r>
        <w:rPr>
          <w:sz w:val="24"/>
          <w:szCs w:val="24"/>
        </w:rPr>
        <w:t>ая</w:t>
      </w:r>
      <w:r w:rsidRPr="0088496C">
        <w:rPr>
          <w:sz w:val="24"/>
          <w:szCs w:val="24"/>
        </w:rPr>
        <w:t xml:space="preserve"> обстановк</w:t>
      </w:r>
      <w:r>
        <w:rPr>
          <w:sz w:val="24"/>
          <w:szCs w:val="24"/>
        </w:rPr>
        <w:t>а</w:t>
      </w:r>
      <w:r w:rsidRPr="0088496C">
        <w:rPr>
          <w:sz w:val="24"/>
          <w:szCs w:val="24"/>
        </w:rPr>
        <w:t xml:space="preserve"> </w:t>
      </w:r>
      <w:r>
        <w:rPr>
          <w:sz w:val="24"/>
          <w:szCs w:val="24"/>
        </w:rPr>
        <w:t xml:space="preserve">- </w:t>
      </w:r>
      <w:r w:rsidRPr="0088496C">
        <w:rPr>
          <w:sz w:val="24"/>
          <w:szCs w:val="24"/>
        </w:rPr>
        <w:t>в осенний период времени произошло уменьшение количества проведенных  мероприятий</w:t>
      </w:r>
      <w:r>
        <w:rPr>
          <w:sz w:val="24"/>
          <w:szCs w:val="24"/>
        </w:rPr>
        <w:t>).</w:t>
      </w:r>
    </w:p>
    <w:p w:rsidR="009C45F8" w:rsidRDefault="009C45F8" w:rsidP="00124114">
      <w:pPr>
        <w:pStyle w:val="afa"/>
        <w:numPr>
          <w:ilvl w:val="0"/>
          <w:numId w:val="11"/>
        </w:numPr>
        <w:tabs>
          <w:tab w:val="left" w:pos="709"/>
          <w:tab w:val="left" w:pos="993"/>
        </w:tabs>
        <w:ind w:left="0" w:firstLine="709"/>
        <w:jc w:val="both"/>
        <w:rPr>
          <w:sz w:val="24"/>
          <w:szCs w:val="24"/>
        </w:rPr>
      </w:pPr>
      <w:r w:rsidRPr="0088496C">
        <w:rPr>
          <w:sz w:val="24"/>
          <w:szCs w:val="24"/>
        </w:rPr>
        <w:t>Число зрителей киносеансов</w:t>
      </w:r>
      <w:r>
        <w:rPr>
          <w:sz w:val="24"/>
          <w:szCs w:val="24"/>
        </w:rPr>
        <w:t>,</w:t>
      </w:r>
      <w:r w:rsidRPr="0088496C">
        <w:rPr>
          <w:sz w:val="24"/>
          <w:szCs w:val="24"/>
        </w:rPr>
        <w:t xml:space="preserve"> </w:t>
      </w:r>
      <w:r>
        <w:rPr>
          <w:sz w:val="24"/>
          <w:szCs w:val="24"/>
        </w:rPr>
        <w:t xml:space="preserve">уровень достижения показателя составляет </w:t>
      </w:r>
      <w:r>
        <w:rPr>
          <w:sz w:val="24"/>
          <w:szCs w:val="24"/>
        </w:rPr>
        <w:br/>
        <w:t>98,0 процентов (плановый показатель – 14100 человек, фактически достигнутый показатель – 13820 человек, причина недостижения показателя - с</w:t>
      </w:r>
      <w:r w:rsidRPr="0088496C">
        <w:rPr>
          <w:sz w:val="24"/>
          <w:szCs w:val="24"/>
        </w:rPr>
        <w:t>нижение покупательской способности</w:t>
      </w:r>
      <w:r>
        <w:rPr>
          <w:sz w:val="24"/>
          <w:szCs w:val="24"/>
        </w:rPr>
        <w:t>).</w:t>
      </w:r>
    </w:p>
    <w:p w:rsidR="009C45F8" w:rsidRPr="007A3B79" w:rsidRDefault="009C45F8" w:rsidP="00124114">
      <w:pPr>
        <w:pStyle w:val="afa"/>
        <w:numPr>
          <w:ilvl w:val="0"/>
          <w:numId w:val="12"/>
        </w:numPr>
        <w:tabs>
          <w:tab w:val="left" w:pos="0"/>
          <w:tab w:val="num" w:pos="567"/>
          <w:tab w:val="left" w:pos="851"/>
        </w:tabs>
        <w:ind w:left="0" w:firstLine="709"/>
        <w:jc w:val="both"/>
        <w:rPr>
          <w:sz w:val="24"/>
          <w:szCs w:val="24"/>
        </w:rPr>
      </w:pPr>
      <w:r w:rsidRPr="00A968B7">
        <w:rPr>
          <w:sz w:val="24"/>
          <w:szCs w:val="24"/>
        </w:rPr>
        <w:t>Уровень обеспеченности Амурской области музеями в соответствии с социальными нормативами и нормами</w:t>
      </w:r>
      <w:r>
        <w:rPr>
          <w:sz w:val="24"/>
          <w:szCs w:val="24"/>
        </w:rPr>
        <w:t xml:space="preserve"> (в процентах), уровень достижения показателя составляет </w:t>
      </w:r>
      <w:r>
        <w:rPr>
          <w:sz w:val="24"/>
          <w:szCs w:val="24"/>
        </w:rPr>
        <w:br/>
        <w:t>82,3 процента (плановый показатель – 41,3 процента, фактически достигнутый показатель – 34,0 процента).</w:t>
      </w:r>
      <w:r w:rsidRPr="00EC4EA8">
        <w:rPr>
          <w:i/>
          <w:sz w:val="24"/>
          <w:szCs w:val="24"/>
        </w:rPr>
        <w:t xml:space="preserve"> </w:t>
      </w:r>
      <w:r w:rsidRPr="007A3B79">
        <w:rPr>
          <w:i/>
          <w:sz w:val="24"/>
          <w:szCs w:val="24"/>
        </w:rPr>
        <w:t xml:space="preserve">Приложение № 2 сводного доклада «Оценка достижения плановых показателей государственных программ Амурской области за январь-декабрь 2017 года </w:t>
      </w:r>
      <w:r w:rsidR="001A4229">
        <w:rPr>
          <w:i/>
          <w:sz w:val="24"/>
          <w:szCs w:val="24"/>
        </w:rPr>
        <w:br/>
      </w:r>
      <w:r w:rsidRPr="007A3B79">
        <w:rPr>
          <w:i/>
          <w:sz w:val="24"/>
          <w:szCs w:val="24"/>
        </w:rPr>
        <w:t>(по состоянию на 01.01.2018)» не содержит информации о причинах недостижения указанного показателя;</w:t>
      </w:r>
    </w:p>
    <w:p w:rsidR="009C45F8" w:rsidRPr="007A3B79" w:rsidRDefault="009C45F8" w:rsidP="00124114">
      <w:pPr>
        <w:pStyle w:val="afa"/>
        <w:numPr>
          <w:ilvl w:val="0"/>
          <w:numId w:val="12"/>
        </w:numPr>
        <w:tabs>
          <w:tab w:val="left" w:pos="0"/>
          <w:tab w:val="num" w:pos="567"/>
          <w:tab w:val="left" w:pos="851"/>
        </w:tabs>
        <w:ind w:left="0" w:firstLine="709"/>
        <w:jc w:val="both"/>
        <w:rPr>
          <w:sz w:val="24"/>
          <w:szCs w:val="24"/>
        </w:rPr>
      </w:pPr>
      <w:r w:rsidRPr="00FF3B84">
        <w:rPr>
          <w:sz w:val="24"/>
          <w:szCs w:val="24"/>
        </w:rPr>
        <w:t>Число проведенных мероприятий оздоровительной кампании</w:t>
      </w:r>
      <w:r>
        <w:rPr>
          <w:sz w:val="24"/>
          <w:szCs w:val="24"/>
        </w:rPr>
        <w:t xml:space="preserve"> (единиц),</w:t>
      </w:r>
      <w:r w:rsidRPr="00FF3B84">
        <w:rPr>
          <w:sz w:val="24"/>
          <w:szCs w:val="24"/>
        </w:rPr>
        <w:t xml:space="preserve"> </w:t>
      </w:r>
      <w:r>
        <w:rPr>
          <w:sz w:val="24"/>
          <w:szCs w:val="24"/>
        </w:rPr>
        <w:t>уровень достижения показателя составляет 50,0 процентов (плановый показатель – 4 единицы, фактически достигнутый показатель – 2 единицы).</w:t>
      </w:r>
      <w:r w:rsidRPr="00EC4EA8">
        <w:rPr>
          <w:i/>
          <w:sz w:val="24"/>
          <w:szCs w:val="24"/>
        </w:rPr>
        <w:t xml:space="preserve"> </w:t>
      </w:r>
      <w:r w:rsidRPr="007A3B79">
        <w:rPr>
          <w:i/>
          <w:sz w:val="24"/>
          <w:szCs w:val="24"/>
        </w:rPr>
        <w:t>Приложение № 2 сводного доклада «Оценка достижения плановых показателей государственных программ Амурской области за январь-декабрь 2017 года (по состоянию на 01.01.2018)» не содержит информации о причинах недостижения указанного показателя;</w:t>
      </w:r>
    </w:p>
    <w:p w:rsidR="009C45F8" w:rsidRPr="0088496C" w:rsidRDefault="009C45F8" w:rsidP="00124114">
      <w:pPr>
        <w:pStyle w:val="afa"/>
        <w:numPr>
          <w:ilvl w:val="0"/>
          <w:numId w:val="11"/>
        </w:numPr>
        <w:tabs>
          <w:tab w:val="left" w:pos="142"/>
          <w:tab w:val="left" w:pos="709"/>
          <w:tab w:val="left" w:pos="993"/>
        </w:tabs>
        <w:ind w:left="0" w:firstLine="709"/>
        <w:jc w:val="both"/>
        <w:rPr>
          <w:sz w:val="24"/>
          <w:szCs w:val="24"/>
        </w:rPr>
      </w:pPr>
      <w:r w:rsidRPr="004D0A77">
        <w:rPr>
          <w:sz w:val="24"/>
          <w:szCs w:val="24"/>
        </w:rPr>
        <w:t>Число пользователей библиотек, обслуживаемых на дому</w:t>
      </w:r>
      <w:r>
        <w:rPr>
          <w:sz w:val="24"/>
          <w:szCs w:val="24"/>
        </w:rPr>
        <w:t>,</w:t>
      </w:r>
      <w:r w:rsidRPr="004D0A77">
        <w:rPr>
          <w:sz w:val="24"/>
          <w:szCs w:val="24"/>
        </w:rPr>
        <w:t xml:space="preserve"> </w:t>
      </w:r>
      <w:r>
        <w:rPr>
          <w:sz w:val="24"/>
          <w:szCs w:val="24"/>
        </w:rPr>
        <w:t>уровень достижения показателя составляет 76,0 процентов (плановый показатель – 25 человек, фактически достигнутый показатель – 19 человек, причина недостижения показателя – сокращение числа пользователей).</w:t>
      </w:r>
    </w:p>
    <w:p w:rsidR="009C45F8" w:rsidRPr="001A299F" w:rsidRDefault="009C45F8" w:rsidP="009C45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Pr>
          <w:rFonts w:ascii="Times New Roman" w:hAnsi="Times New Roman" w:cs="Times New Roman"/>
          <w:sz w:val="24"/>
          <w:szCs w:val="24"/>
        </w:rPr>
        <w:br/>
        <w:t xml:space="preserve">2017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Pr>
          <w:rFonts w:ascii="Times New Roman" w:hAnsi="Times New Roman" w:cs="Times New Roman"/>
          <w:sz w:val="24"/>
          <w:szCs w:val="24"/>
        </w:rPr>
        <w:t xml:space="preserve">, государственная программа </w:t>
      </w:r>
      <w:r w:rsidRPr="001A299F">
        <w:rPr>
          <w:rFonts w:ascii="Times New Roman" w:eastAsia="Times New Roman" w:hAnsi="Times New Roman" w:cs="Times New Roman"/>
          <w:sz w:val="24"/>
          <w:szCs w:val="24"/>
          <w:lang w:eastAsia="ru-RU"/>
        </w:rPr>
        <w:t>«Развитие и сохранение культуры и искусства Амурской области на 2014-2020 годы»</w:t>
      </w:r>
      <w:r>
        <w:rPr>
          <w:rFonts w:ascii="Times New Roman" w:eastAsia="Times New Roman" w:hAnsi="Times New Roman" w:cs="Times New Roman"/>
          <w:sz w:val="24"/>
          <w:szCs w:val="24"/>
          <w:lang w:eastAsia="ru-RU"/>
        </w:rPr>
        <w:t xml:space="preserve"> признана эффективной.</w:t>
      </w:r>
    </w:p>
    <w:p w:rsidR="009C45F8" w:rsidRPr="00D77AF3"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4229" w:rsidRPr="006F0D2D" w:rsidRDefault="001A4229" w:rsidP="001A422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6F0D2D">
        <w:rPr>
          <w:rFonts w:ascii="Times New Roman" w:eastAsia="Times New Roman" w:hAnsi="Times New Roman" w:cs="Times New Roman"/>
          <w:b/>
          <w:sz w:val="24"/>
          <w:szCs w:val="24"/>
          <w:lang w:eastAsia="ru-RU"/>
        </w:rPr>
        <w:t>5.4. Исполнение расходов областного бюджета за 2017 год в рамках государственной программы «Охрана окружающей среды на 2014-2020 годы»</w:t>
      </w:r>
    </w:p>
    <w:p w:rsidR="001A4229" w:rsidRPr="006F0D2D" w:rsidRDefault="001A4229" w:rsidP="001A42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0D2D">
        <w:rPr>
          <w:rFonts w:ascii="Times New Roman" w:eastAsia="Times New Roman" w:hAnsi="Times New Roman" w:cs="Times New Roman"/>
          <w:sz w:val="24"/>
          <w:szCs w:val="24"/>
          <w:lang w:eastAsia="ru-RU"/>
        </w:rPr>
        <w:t xml:space="preserve">Государственная программа «Охрана окружающей среды на 2014-2020 годы» в составе четырех подпрограмм утверждена постановлением Правительства Амурской области от 25.09.2013 № 453 с объемом ассигнований областного бюджета на 2017 год – </w:t>
      </w:r>
      <w:r>
        <w:rPr>
          <w:rFonts w:ascii="Times New Roman" w:eastAsia="Times New Roman" w:hAnsi="Times New Roman" w:cs="Times New Roman"/>
          <w:sz w:val="24"/>
          <w:szCs w:val="24"/>
          <w:lang w:eastAsia="ru-RU"/>
        </w:rPr>
        <w:br/>
      </w:r>
      <w:r w:rsidRPr="006F0D2D">
        <w:rPr>
          <w:rFonts w:ascii="Times New Roman" w:eastAsia="Times New Roman" w:hAnsi="Times New Roman" w:cs="Times New Roman"/>
          <w:sz w:val="24"/>
          <w:szCs w:val="24"/>
          <w:lang w:eastAsia="ru-RU"/>
        </w:rPr>
        <w:t>563520,75 тыс. рублей, в том числе за счет федерального бюджета – 424098,20 тыс. рублей, за счет областного бюджета – 139422,55 тыс. рублей.</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F56">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027F56">
        <w:rPr>
          <w:rFonts w:ascii="Times New Roman" w:eastAsia="Times New Roman" w:hAnsi="Times New Roman" w:cs="Times New Roman"/>
          <w:sz w:val="24"/>
          <w:szCs w:val="24"/>
          <w:lang w:eastAsia="ru-RU"/>
        </w:rPr>
        <w:t xml:space="preserve"> Амурской области «Об областном бюджете на 2017 год и плановый период 2018 и 2019 годов»</w:t>
      </w:r>
      <w:r>
        <w:rPr>
          <w:rFonts w:ascii="Times New Roman" w:eastAsia="Times New Roman" w:hAnsi="Times New Roman" w:cs="Times New Roman"/>
          <w:sz w:val="24"/>
          <w:szCs w:val="24"/>
          <w:lang w:eastAsia="ru-RU"/>
        </w:rPr>
        <w:t xml:space="preserve"> </w:t>
      </w:r>
      <w:r w:rsidRPr="00027F56">
        <w:rPr>
          <w:rFonts w:ascii="Times New Roman" w:eastAsia="Times New Roman" w:hAnsi="Times New Roman" w:cs="Times New Roman"/>
          <w:sz w:val="24"/>
          <w:szCs w:val="24"/>
          <w:lang w:eastAsia="ru-RU"/>
        </w:rPr>
        <w:t>(ред. от 2</w:t>
      </w:r>
      <w:r>
        <w:rPr>
          <w:rFonts w:ascii="Times New Roman" w:eastAsia="Times New Roman" w:hAnsi="Times New Roman" w:cs="Times New Roman"/>
          <w:sz w:val="24"/>
          <w:szCs w:val="24"/>
          <w:lang w:eastAsia="ru-RU"/>
        </w:rPr>
        <w:t>1</w:t>
      </w:r>
      <w:r w:rsidRPr="00027F56">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 №161-ОЗ</w:t>
      </w:r>
      <w:r w:rsidRPr="00027F56">
        <w:rPr>
          <w:rFonts w:ascii="Times New Roman" w:eastAsia="Times New Roman" w:hAnsi="Times New Roman" w:cs="Times New Roman"/>
          <w:sz w:val="24"/>
          <w:szCs w:val="24"/>
          <w:lang w:eastAsia="ru-RU"/>
        </w:rPr>
        <w:t xml:space="preserve">) </w:t>
      </w:r>
      <w:r w:rsidRPr="006F0D2D">
        <w:rPr>
          <w:rFonts w:ascii="Times New Roman" w:eastAsia="Times New Roman" w:hAnsi="Times New Roman" w:cs="Times New Roman"/>
          <w:sz w:val="24"/>
          <w:szCs w:val="24"/>
          <w:lang w:eastAsia="ru-RU"/>
        </w:rPr>
        <w:t>утверждены ассигнования на реализацию четырех подпрограмм, входящих в состав государственной программы «Охрана окружающей среды на 2014-2020 годы» на общую сумму 5</w:t>
      </w:r>
      <w:r>
        <w:rPr>
          <w:rFonts w:ascii="Times New Roman" w:eastAsia="Times New Roman" w:hAnsi="Times New Roman" w:cs="Times New Roman"/>
          <w:sz w:val="24"/>
          <w:szCs w:val="24"/>
          <w:lang w:eastAsia="ru-RU"/>
        </w:rPr>
        <w:t>63520,8</w:t>
      </w:r>
      <w:r w:rsidRPr="006F0D2D">
        <w:rPr>
          <w:rFonts w:ascii="Times New Roman" w:eastAsia="Times New Roman" w:hAnsi="Times New Roman" w:cs="Times New Roman"/>
          <w:sz w:val="24"/>
          <w:szCs w:val="24"/>
          <w:lang w:eastAsia="ru-RU"/>
        </w:rPr>
        <w:t xml:space="preserve"> тыс. рублей.</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D2D">
        <w:rPr>
          <w:rFonts w:ascii="Times New Roman" w:eastAsia="Times New Roman" w:hAnsi="Times New Roman" w:cs="Times New Roman"/>
          <w:sz w:val="24"/>
          <w:szCs w:val="24"/>
          <w:lang w:eastAsia="ru-RU"/>
        </w:rPr>
        <w:t>Сводной бюджетной росписью н</w:t>
      </w:r>
      <w:r w:rsidRPr="006F0D2D">
        <w:rPr>
          <w:rFonts w:ascii="Times New Roman" w:eastAsia="Calibri" w:hAnsi="Times New Roman" w:cs="Times New Roman"/>
          <w:sz w:val="24"/>
          <w:szCs w:val="24"/>
        </w:rPr>
        <w:t>а реализацию</w:t>
      </w:r>
      <w:r w:rsidRPr="006F0D2D">
        <w:rPr>
          <w:rFonts w:ascii="Times New Roman" w:eastAsia="Times New Roman" w:hAnsi="Times New Roman" w:cs="Times New Roman"/>
          <w:sz w:val="24"/>
          <w:szCs w:val="24"/>
          <w:lang w:eastAsia="ru-RU"/>
        </w:rPr>
        <w:t xml:space="preserve"> государственной программы «Охрана окружающей среды на 2014-2020 годы» предусмотрены ассигнования в сумме </w:t>
      </w:r>
      <w:r>
        <w:rPr>
          <w:rFonts w:ascii="Times New Roman" w:eastAsia="Times New Roman" w:hAnsi="Times New Roman" w:cs="Times New Roman"/>
          <w:sz w:val="24"/>
          <w:szCs w:val="24"/>
          <w:lang w:eastAsia="ru-RU"/>
        </w:rPr>
        <w:br/>
      </w:r>
      <w:r w:rsidRPr="006F0D2D">
        <w:rPr>
          <w:rFonts w:ascii="Times New Roman" w:eastAsia="Times New Roman" w:hAnsi="Times New Roman" w:cs="Times New Roman"/>
          <w:sz w:val="24"/>
          <w:szCs w:val="24"/>
          <w:lang w:eastAsia="ru-RU"/>
        </w:rPr>
        <w:lastRenderedPageBreak/>
        <w:t>599020,8 тыс. рублей. Исполнение бюджетных назначений составило 585954,8 тыс. рублей, или 97,8 процента предусмотренных бюджетной росписью средств. Неисполненные назначения составили 13066,0 тыс. рублей.</w:t>
      </w:r>
    </w:p>
    <w:p w:rsidR="001A4229" w:rsidRPr="006F0D2D" w:rsidRDefault="001A4229" w:rsidP="001A422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F0D2D">
        <w:rPr>
          <w:rFonts w:ascii="Times New Roman" w:eastAsia="Times New Roman" w:hAnsi="Times New Roman" w:cs="Times New Roman"/>
          <w:sz w:val="24"/>
          <w:szCs w:val="24"/>
          <w:lang w:eastAsia="ru-RU"/>
        </w:rPr>
        <w:t>Координатором государственной программы определено м</w:t>
      </w:r>
      <w:r w:rsidRPr="006F0D2D">
        <w:rPr>
          <w:rFonts w:ascii="Times New Roman" w:eastAsia="Calibri" w:hAnsi="Times New Roman" w:cs="Times New Roman"/>
          <w:sz w:val="24"/>
          <w:szCs w:val="24"/>
        </w:rPr>
        <w:t>инистерство природных ресурсов Амурской области.</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0D2D">
        <w:rPr>
          <w:rFonts w:ascii="Times New Roman" w:eastAsia="Times New Roman" w:hAnsi="Times New Roman" w:cs="Times New Roman"/>
          <w:sz w:val="24"/>
          <w:szCs w:val="24"/>
          <w:lang w:eastAsia="ru-RU"/>
        </w:rPr>
        <w:t>Координатор подпрограммы «Развитие водохозяйственного комплекса Амурской области» - министерство природных ресурсов Амурской области.</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0D2D">
        <w:rPr>
          <w:rFonts w:ascii="Times New Roman" w:eastAsia="Times New Roman" w:hAnsi="Times New Roman" w:cs="Times New Roman"/>
          <w:sz w:val="24"/>
          <w:szCs w:val="24"/>
          <w:lang w:eastAsia="ru-RU"/>
        </w:rPr>
        <w:t>Координатор подпрограммы «</w:t>
      </w:r>
      <w:hyperlink r:id="rId34" w:history="1">
        <w:r w:rsidRPr="006F0D2D">
          <w:rPr>
            <w:rFonts w:ascii="Times New Roman" w:eastAsia="Times New Roman" w:hAnsi="Times New Roman" w:cs="Times New Roman"/>
            <w:sz w:val="24"/>
            <w:szCs w:val="24"/>
            <w:lang w:eastAsia="ru-RU"/>
          </w:rPr>
          <w:t>Совершенствование условий</w:t>
        </w:r>
      </w:hyperlink>
      <w:r w:rsidRPr="006F0D2D">
        <w:rPr>
          <w:rFonts w:ascii="Times New Roman" w:eastAsia="Times New Roman" w:hAnsi="Times New Roman" w:cs="Times New Roman"/>
          <w:sz w:val="24"/>
          <w:szCs w:val="24"/>
          <w:lang w:eastAsia="ru-RU"/>
        </w:rPr>
        <w:t xml:space="preserve"> функционирования системы особо охраняемых природных территорий и системы охраны объектов животного мира Амурской области» - управление по охране, контролю и регулированию использования объектов животного мира и среды их обитания Амурской области.</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0D2D">
        <w:rPr>
          <w:rFonts w:ascii="Times New Roman" w:eastAsia="Times New Roman" w:hAnsi="Times New Roman" w:cs="Times New Roman"/>
          <w:sz w:val="24"/>
          <w:szCs w:val="24"/>
          <w:lang w:eastAsia="ru-RU"/>
        </w:rPr>
        <w:t>Координатор подпрограммы «Развитие лесного хозяйства Амурской области» - министерство лесного хозяйства и пожарной безопасности Амурской области.</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0D2D">
        <w:rPr>
          <w:rFonts w:ascii="Times New Roman" w:eastAsia="Times New Roman" w:hAnsi="Times New Roman" w:cs="Times New Roman"/>
          <w:sz w:val="24"/>
          <w:szCs w:val="24"/>
          <w:lang w:eastAsia="ru-RU"/>
        </w:rPr>
        <w:t>Координатор подпрограммы «</w:t>
      </w:r>
      <w:hyperlink r:id="rId35" w:history="1">
        <w:r w:rsidRPr="006F0D2D">
          <w:rPr>
            <w:rFonts w:ascii="Times New Roman" w:eastAsia="Times New Roman" w:hAnsi="Times New Roman" w:cs="Times New Roman"/>
            <w:sz w:val="24"/>
            <w:szCs w:val="24"/>
            <w:lang w:eastAsia="ru-RU"/>
          </w:rPr>
          <w:t>Обеспечение реализации</w:t>
        </w:r>
      </w:hyperlink>
      <w:r w:rsidRPr="006F0D2D">
        <w:rPr>
          <w:rFonts w:ascii="Times New Roman" w:eastAsia="Times New Roman" w:hAnsi="Times New Roman" w:cs="Times New Roman"/>
          <w:sz w:val="24"/>
          <w:szCs w:val="24"/>
          <w:lang w:eastAsia="ru-RU"/>
        </w:rPr>
        <w:t xml:space="preserve"> основных направлений государственной политики в сфере реализации государственной программы» - министерство природных ресурсов Амурской области.</w:t>
      </w:r>
    </w:p>
    <w:p w:rsidR="001A4229" w:rsidRPr="006F0D2D"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0D2D">
        <w:rPr>
          <w:rFonts w:ascii="Times New Roman" w:eastAsia="Times New Roman" w:hAnsi="Times New Roman" w:cs="Times New Roman"/>
          <w:sz w:val="24"/>
          <w:szCs w:val="24"/>
          <w:lang w:eastAsia="ru-RU"/>
        </w:rPr>
        <w:t>Участниками государственной программы являются министерство природных ресурсов Амурской области, министерство лесного хозяйства и пожарной безопасности Амурской области, управление по охране, контролю и регулированию использования объектов животного мира и среды их обитания Амурской области.</w:t>
      </w:r>
    </w:p>
    <w:p w:rsidR="001A4229" w:rsidRPr="00D244E2" w:rsidRDefault="001A4229" w:rsidP="001A4229">
      <w:pPr>
        <w:spacing w:after="0" w:line="240" w:lineRule="auto"/>
        <w:ind w:firstLine="709"/>
        <w:jc w:val="both"/>
        <w:rPr>
          <w:rFonts w:ascii="Times New Roman" w:eastAsia="Calibri" w:hAnsi="Times New Roman" w:cs="Times New Roman"/>
          <w:sz w:val="24"/>
          <w:szCs w:val="24"/>
        </w:rPr>
      </w:pPr>
      <w:r w:rsidRPr="00D244E2">
        <w:rPr>
          <w:rFonts w:ascii="Times New Roman" w:eastAsia="Calibri" w:hAnsi="Times New Roman" w:cs="Times New Roman"/>
          <w:sz w:val="24"/>
          <w:szCs w:val="24"/>
        </w:rPr>
        <w:t>Согласно приложению № 1 «Информация о финансировании государственных программ Амурской области за январь-декабрь 2017 года (по состоянию на 01.01.2018)»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объем исполненных ассигнований за счет средств федерального бюджета и области, отраженных в докладе, соответствует результатам исполнения областного бюджета по государственной программе, отраженным в законопроекте.</w:t>
      </w:r>
    </w:p>
    <w:p w:rsidR="001A4229" w:rsidRPr="001A4229"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 xml:space="preserve">В таблице </w:t>
      </w:r>
      <w:r w:rsidRPr="001A4229">
        <w:rPr>
          <w:rFonts w:ascii="Times New Roman" w:eastAsia="Times New Roman" w:hAnsi="Times New Roman" w:cs="Times New Roman"/>
          <w:sz w:val="24"/>
          <w:szCs w:val="24"/>
          <w:lang w:eastAsia="ru-RU"/>
        </w:rPr>
        <w:t>7 представлена информация об исполнении государственной программы в разрезе подпрограмм.</w:t>
      </w:r>
    </w:p>
    <w:p w:rsidR="001A4229" w:rsidRPr="001A4229" w:rsidRDefault="001A4229" w:rsidP="001A4229">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A4229">
        <w:rPr>
          <w:rFonts w:ascii="Times New Roman" w:eastAsia="Times New Roman" w:hAnsi="Times New Roman" w:cs="Times New Roman"/>
          <w:sz w:val="24"/>
          <w:szCs w:val="24"/>
          <w:lang w:eastAsia="ru-RU"/>
        </w:rPr>
        <w:t>Таблица 7</w:t>
      </w:r>
    </w:p>
    <w:p w:rsidR="001A4229" w:rsidRPr="00D244E2" w:rsidRDefault="001A4229" w:rsidP="001A422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244E2">
        <w:rPr>
          <w:rFonts w:ascii="Times New Roman" w:eastAsia="Times New Roman" w:hAnsi="Times New Roman" w:cs="Times New Roman"/>
          <w:b/>
          <w:sz w:val="24"/>
          <w:szCs w:val="24"/>
          <w:lang w:eastAsia="ru-RU"/>
        </w:rPr>
        <w:t>Анализ исполнения государственной программы «Охрана окружающей среды на 2014-2020 годы» в разрезе подпрограмм</w:t>
      </w:r>
    </w:p>
    <w:p w:rsidR="001A4229" w:rsidRPr="00D244E2" w:rsidRDefault="001A4229" w:rsidP="001A422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16"/>
        <w:gridCol w:w="1531"/>
        <w:gridCol w:w="1505"/>
        <w:gridCol w:w="1425"/>
      </w:tblGrid>
      <w:tr w:rsidR="001A4229" w:rsidRPr="00EB2FBD" w:rsidTr="001A4229">
        <w:trPr>
          <w:trHeight w:val="537"/>
          <w:tblHeader/>
        </w:trPr>
        <w:tc>
          <w:tcPr>
            <w:tcW w:w="4219" w:type="dxa"/>
            <w:shd w:val="clear" w:color="auto" w:fill="auto"/>
          </w:tcPr>
          <w:p w:rsidR="001A4229" w:rsidRPr="00D244E2" w:rsidRDefault="001A4229"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096" w:type="dxa"/>
            <w:shd w:val="clear" w:color="auto" w:fill="auto"/>
            <w:noWrap/>
          </w:tcPr>
          <w:p w:rsidR="001A4229" w:rsidRPr="00D244E2" w:rsidRDefault="001A4229"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План</w:t>
            </w:r>
          </w:p>
        </w:tc>
        <w:tc>
          <w:tcPr>
            <w:tcW w:w="1531" w:type="dxa"/>
            <w:shd w:val="clear" w:color="auto" w:fill="auto"/>
            <w:noWrap/>
          </w:tcPr>
          <w:p w:rsidR="001A4229" w:rsidRPr="00D244E2" w:rsidRDefault="001A4229"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1A4229" w:rsidRPr="00D244E2" w:rsidRDefault="001A4229"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1A4229" w:rsidRPr="00D244E2" w:rsidRDefault="001A4229"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Не исполнены</w:t>
            </w:r>
          </w:p>
        </w:tc>
      </w:tr>
      <w:tr w:rsidR="001A4229" w:rsidRPr="00EB2FBD" w:rsidTr="001A4229">
        <w:trPr>
          <w:trHeight w:val="533"/>
        </w:trPr>
        <w:tc>
          <w:tcPr>
            <w:tcW w:w="4219" w:type="dxa"/>
            <w:shd w:val="clear" w:color="auto" w:fill="auto"/>
            <w:hideMark/>
          </w:tcPr>
          <w:p w:rsidR="001A4229" w:rsidRPr="00D244E2" w:rsidRDefault="001A4229" w:rsidP="00F07C4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w:t>
            </w:r>
            <w:r w:rsidRPr="00D244E2">
              <w:rPr>
                <w:rFonts w:ascii="Times New Roman" w:eastAsia="Times New Roman" w:hAnsi="Times New Roman" w:cs="Times New Roman"/>
                <w:b/>
                <w:sz w:val="24"/>
                <w:szCs w:val="24"/>
                <w:lang w:eastAsia="ru-RU"/>
              </w:rPr>
              <w:t>Охрана окружающей среды на 2014-2020 годы</w:t>
            </w:r>
            <w:r w:rsidRPr="00D244E2">
              <w:rPr>
                <w:rFonts w:ascii="Times New Roman" w:eastAsia="Times New Roman" w:hAnsi="Times New Roman" w:cs="Times New Roman"/>
                <w:b/>
                <w:bCs/>
                <w:sz w:val="24"/>
                <w:szCs w:val="24"/>
                <w:lang w:eastAsia="ru-RU"/>
              </w:rPr>
              <w:t xml:space="preserve">», </w:t>
            </w:r>
            <w:r w:rsidRPr="00D244E2">
              <w:rPr>
                <w:rFonts w:ascii="Times New Roman" w:eastAsia="Times New Roman" w:hAnsi="Times New Roman" w:cs="Times New Roman"/>
                <w:bCs/>
                <w:sz w:val="24"/>
                <w:szCs w:val="24"/>
                <w:lang w:eastAsia="ru-RU"/>
              </w:rPr>
              <w:t>в том числе:</w:t>
            </w:r>
          </w:p>
        </w:tc>
        <w:tc>
          <w:tcPr>
            <w:tcW w:w="1096"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599020,8</w:t>
            </w:r>
          </w:p>
        </w:tc>
        <w:tc>
          <w:tcPr>
            <w:tcW w:w="1531"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585954,8</w:t>
            </w:r>
          </w:p>
        </w:tc>
        <w:tc>
          <w:tcPr>
            <w:tcW w:w="1505"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97,8</w:t>
            </w:r>
          </w:p>
        </w:tc>
        <w:tc>
          <w:tcPr>
            <w:tcW w:w="1425"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244E2">
              <w:rPr>
                <w:rFonts w:ascii="Times New Roman" w:eastAsia="Times New Roman" w:hAnsi="Times New Roman" w:cs="Times New Roman"/>
                <w:b/>
                <w:bCs/>
                <w:sz w:val="24"/>
                <w:szCs w:val="24"/>
                <w:lang w:eastAsia="ru-RU"/>
              </w:rPr>
              <w:t>-13066,0</w:t>
            </w:r>
          </w:p>
        </w:tc>
      </w:tr>
      <w:tr w:rsidR="001A4229" w:rsidRPr="00EB2FBD" w:rsidTr="001A4229">
        <w:trPr>
          <w:trHeight w:val="823"/>
        </w:trPr>
        <w:tc>
          <w:tcPr>
            <w:tcW w:w="4219" w:type="dxa"/>
            <w:shd w:val="clear" w:color="auto" w:fill="auto"/>
            <w:hideMark/>
          </w:tcPr>
          <w:p w:rsidR="001A4229" w:rsidRPr="00D244E2" w:rsidRDefault="001A4229" w:rsidP="00F07C41">
            <w:pPr>
              <w:widowControl w:val="0"/>
              <w:autoSpaceDE w:val="0"/>
              <w:autoSpaceDN w:val="0"/>
              <w:adjustRightInd w:val="0"/>
              <w:spacing w:after="0" w:line="240" w:lineRule="auto"/>
              <w:rPr>
                <w:rFonts w:ascii="Times New Roman" w:eastAsia="Times New Roman" w:hAnsi="Times New Roman" w:cs="Times New Roman"/>
                <w:lang w:eastAsia="ru-RU"/>
              </w:rPr>
            </w:pPr>
            <w:r w:rsidRPr="00D244E2">
              <w:rPr>
                <w:rFonts w:ascii="Times New Roman" w:eastAsia="Times New Roman" w:hAnsi="Times New Roman" w:cs="Times New Roman"/>
                <w:lang w:eastAsia="ru-RU"/>
              </w:rPr>
              <w:t>Подпрограмма «Развитие водохозяйственного комплекса и охрана окружающей среды в Амурской области»</w:t>
            </w:r>
          </w:p>
        </w:tc>
        <w:tc>
          <w:tcPr>
            <w:tcW w:w="1096"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19636,7</w:t>
            </w:r>
          </w:p>
        </w:tc>
        <w:tc>
          <w:tcPr>
            <w:tcW w:w="1531"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7408,1</w:t>
            </w:r>
          </w:p>
        </w:tc>
        <w:tc>
          <w:tcPr>
            <w:tcW w:w="1505"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37,7</w:t>
            </w:r>
          </w:p>
        </w:tc>
        <w:tc>
          <w:tcPr>
            <w:tcW w:w="1425"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-12228,6</w:t>
            </w:r>
          </w:p>
        </w:tc>
      </w:tr>
      <w:tr w:rsidR="001A4229" w:rsidRPr="00EB2FBD" w:rsidTr="001A4229">
        <w:trPr>
          <w:trHeight w:val="1415"/>
        </w:trPr>
        <w:tc>
          <w:tcPr>
            <w:tcW w:w="4219" w:type="dxa"/>
            <w:shd w:val="clear" w:color="auto" w:fill="auto"/>
            <w:hideMark/>
          </w:tcPr>
          <w:p w:rsidR="001A4229" w:rsidRPr="00D244E2" w:rsidRDefault="001A4229" w:rsidP="00F07C41">
            <w:pPr>
              <w:widowControl w:val="0"/>
              <w:autoSpaceDE w:val="0"/>
              <w:autoSpaceDN w:val="0"/>
              <w:adjustRightInd w:val="0"/>
              <w:spacing w:after="0" w:line="240" w:lineRule="auto"/>
              <w:rPr>
                <w:rFonts w:ascii="Times New Roman" w:eastAsia="Times New Roman" w:hAnsi="Times New Roman" w:cs="Times New Roman"/>
                <w:lang w:eastAsia="ru-RU"/>
              </w:rPr>
            </w:pPr>
            <w:r w:rsidRPr="00D244E2">
              <w:rPr>
                <w:rFonts w:ascii="Times New Roman" w:eastAsia="Times New Roman" w:hAnsi="Times New Roman" w:cs="Times New Roman"/>
                <w:lang w:eastAsia="ru-RU"/>
              </w:rPr>
              <w:t>Подпрограмма «Совершенствование условий функционирования системы особо охраняемых природных территорий и системы охраны объектов животного мира Амурской области»</w:t>
            </w:r>
          </w:p>
        </w:tc>
        <w:tc>
          <w:tcPr>
            <w:tcW w:w="1096"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40677,8</w:t>
            </w:r>
          </w:p>
        </w:tc>
        <w:tc>
          <w:tcPr>
            <w:tcW w:w="1531"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40677,6</w:t>
            </w:r>
          </w:p>
        </w:tc>
        <w:tc>
          <w:tcPr>
            <w:tcW w:w="1505"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100,0</w:t>
            </w:r>
          </w:p>
        </w:tc>
        <w:tc>
          <w:tcPr>
            <w:tcW w:w="1425" w:type="dxa"/>
            <w:shd w:val="clear" w:color="auto" w:fill="auto"/>
            <w:noWrap/>
            <w:hideMark/>
          </w:tcPr>
          <w:p w:rsidR="001A4229" w:rsidRPr="00D244E2"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44E2">
              <w:rPr>
                <w:rFonts w:ascii="Times New Roman" w:eastAsia="Times New Roman" w:hAnsi="Times New Roman" w:cs="Times New Roman"/>
                <w:sz w:val="24"/>
                <w:szCs w:val="24"/>
                <w:lang w:eastAsia="ru-RU"/>
              </w:rPr>
              <w:t>0,0</w:t>
            </w:r>
          </w:p>
        </w:tc>
      </w:tr>
      <w:tr w:rsidR="001A4229" w:rsidRPr="00A105E6" w:rsidTr="001A4229">
        <w:trPr>
          <w:trHeight w:val="699"/>
        </w:trPr>
        <w:tc>
          <w:tcPr>
            <w:tcW w:w="4219" w:type="dxa"/>
            <w:shd w:val="clear" w:color="auto" w:fill="auto"/>
            <w:hideMark/>
          </w:tcPr>
          <w:p w:rsidR="001A4229" w:rsidRPr="00A105E6" w:rsidRDefault="001A4229" w:rsidP="00F07C41">
            <w:pPr>
              <w:widowControl w:val="0"/>
              <w:autoSpaceDE w:val="0"/>
              <w:autoSpaceDN w:val="0"/>
              <w:adjustRightInd w:val="0"/>
              <w:spacing w:after="0" w:line="240" w:lineRule="auto"/>
              <w:rPr>
                <w:rFonts w:ascii="Times New Roman" w:eastAsia="Times New Roman" w:hAnsi="Times New Roman" w:cs="Times New Roman"/>
                <w:lang w:eastAsia="ru-RU"/>
              </w:rPr>
            </w:pPr>
            <w:r w:rsidRPr="00A105E6">
              <w:rPr>
                <w:rFonts w:ascii="Times New Roman" w:eastAsia="Times New Roman" w:hAnsi="Times New Roman" w:cs="Times New Roman"/>
                <w:lang w:eastAsia="ru-RU"/>
              </w:rPr>
              <w:t>Подпрограмма «Развитие лесного хозяйства Амурской области»</w:t>
            </w:r>
          </w:p>
        </w:tc>
        <w:tc>
          <w:tcPr>
            <w:tcW w:w="1096"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439888,3</w:t>
            </w:r>
          </w:p>
        </w:tc>
        <w:tc>
          <w:tcPr>
            <w:tcW w:w="1531"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439275,8</w:t>
            </w:r>
          </w:p>
        </w:tc>
        <w:tc>
          <w:tcPr>
            <w:tcW w:w="1505"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99,9</w:t>
            </w:r>
          </w:p>
        </w:tc>
        <w:tc>
          <w:tcPr>
            <w:tcW w:w="1425"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-612,5</w:t>
            </w:r>
          </w:p>
        </w:tc>
      </w:tr>
      <w:tr w:rsidR="001A4229" w:rsidRPr="00A105E6" w:rsidTr="001A4229">
        <w:trPr>
          <w:trHeight w:val="1120"/>
        </w:trPr>
        <w:tc>
          <w:tcPr>
            <w:tcW w:w="4219" w:type="dxa"/>
            <w:shd w:val="clear" w:color="auto" w:fill="auto"/>
            <w:hideMark/>
          </w:tcPr>
          <w:p w:rsidR="001A4229" w:rsidRPr="00A105E6" w:rsidRDefault="001A4229" w:rsidP="00F07C41">
            <w:pPr>
              <w:widowControl w:val="0"/>
              <w:autoSpaceDE w:val="0"/>
              <w:autoSpaceDN w:val="0"/>
              <w:adjustRightInd w:val="0"/>
              <w:spacing w:after="0" w:line="240" w:lineRule="auto"/>
              <w:rPr>
                <w:rFonts w:ascii="Times New Roman" w:eastAsia="Times New Roman" w:hAnsi="Times New Roman" w:cs="Times New Roman"/>
                <w:lang w:eastAsia="ru-RU"/>
              </w:rPr>
            </w:pPr>
            <w:r w:rsidRPr="00A105E6">
              <w:rPr>
                <w:rFonts w:ascii="Times New Roman" w:eastAsia="Times New Roman" w:hAnsi="Times New Roman" w:cs="Times New Roman"/>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096"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98818,0</w:t>
            </w:r>
          </w:p>
        </w:tc>
        <w:tc>
          <w:tcPr>
            <w:tcW w:w="1531"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98593,3</w:t>
            </w:r>
          </w:p>
        </w:tc>
        <w:tc>
          <w:tcPr>
            <w:tcW w:w="1505"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99,8</w:t>
            </w:r>
          </w:p>
        </w:tc>
        <w:tc>
          <w:tcPr>
            <w:tcW w:w="1425" w:type="dxa"/>
            <w:shd w:val="clear" w:color="auto" w:fill="auto"/>
            <w:noWrap/>
            <w:hideMark/>
          </w:tcPr>
          <w:p w:rsidR="001A4229" w:rsidRPr="00A105E6" w:rsidRDefault="001A4229"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05E6">
              <w:rPr>
                <w:rFonts w:ascii="Times New Roman" w:eastAsia="Times New Roman" w:hAnsi="Times New Roman" w:cs="Times New Roman"/>
                <w:sz w:val="24"/>
                <w:szCs w:val="24"/>
                <w:lang w:eastAsia="ru-RU"/>
              </w:rPr>
              <w:t>-224,7</w:t>
            </w:r>
          </w:p>
        </w:tc>
      </w:tr>
    </w:tbl>
    <w:p w:rsidR="001A4229" w:rsidRPr="00A105E6" w:rsidRDefault="001A4229" w:rsidP="001A4229">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A105E6">
        <w:rPr>
          <w:rFonts w:ascii="Times New Roman" w:eastAsia="Times New Roman" w:hAnsi="Times New Roman" w:cs="Times New Roman"/>
          <w:i/>
          <w:sz w:val="24"/>
          <w:szCs w:val="24"/>
          <w:lang w:eastAsia="ru-RU"/>
        </w:rPr>
        <w:lastRenderedPageBreak/>
        <w:t>Подпрограмма «Развитие водохозяйственного комплекса и охрана окружающей среды в Амурской области»</w:t>
      </w:r>
    </w:p>
    <w:p w:rsidR="001A4229" w:rsidRPr="007B6893" w:rsidRDefault="001A4229" w:rsidP="001A4229">
      <w:pPr>
        <w:spacing w:after="0" w:line="240" w:lineRule="auto"/>
        <w:ind w:firstLine="709"/>
        <w:jc w:val="both"/>
        <w:rPr>
          <w:rFonts w:ascii="Times New Roman" w:eastAsia="Calibri" w:hAnsi="Times New Roman" w:cs="Times New Roman"/>
          <w:sz w:val="24"/>
          <w:szCs w:val="24"/>
        </w:rPr>
      </w:pPr>
      <w:r w:rsidRPr="00A105E6">
        <w:rPr>
          <w:rFonts w:ascii="Times New Roman" w:eastAsia="Times New Roman" w:hAnsi="Times New Roman" w:cs="Times New Roman"/>
          <w:sz w:val="24"/>
          <w:szCs w:val="24"/>
          <w:lang w:eastAsia="ru-RU"/>
        </w:rPr>
        <w:t>Сводной бюджетной росписью н</w:t>
      </w:r>
      <w:r w:rsidRPr="00A105E6">
        <w:rPr>
          <w:rFonts w:ascii="Times New Roman" w:eastAsia="Calibri" w:hAnsi="Times New Roman" w:cs="Times New Roman"/>
          <w:sz w:val="24"/>
          <w:szCs w:val="24"/>
        </w:rPr>
        <w:t>а реализацию подпрограммы в 2017 году утверждены ассигнования в сумме 19636,7 тыс. рублей. Исполнение составило 7408</w:t>
      </w:r>
      <w:r>
        <w:rPr>
          <w:rFonts w:ascii="Times New Roman" w:eastAsia="Calibri" w:hAnsi="Times New Roman" w:cs="Times New Roman"/>
          <w:sz w:val="24"/>
          <w:szCs w:val="24"/>
        </w:rPr>
        <w:t>,1</w:t>
      </w:r>
      <w:r w:rsidRPr="007B6893">
        <w:rPr>
          <w:rFonts w:ascii="Times New Roman" w:eastAsia="Calibri" w:hAnsi="Times New Roman" w:cs="Times New Roman"/>
          <w:sz w:val="24"/>
          <w:szCs w:val="24"/>
        </w:rPr>
        <w:t xml:space="preserve"> тыс. рублей по основному мероприятию «</w:t>
      </w:r>
      <w:r>
        <w:rPr>
          <w:rFonts w:ascii="Times New Roman" w:eastAsia="Calibri" w:hAnsi="Times New Roman" w:cs="Times New Roman"/>
          <w:sz w:val="24"/>
          <w:szCs w:val="24"/>
        </w:rPr>
        <w:t>Охрана водных объектов или их частей, предотвращение негативного воздействия вод и ликвидация его последствий»</w:t>
      </w:r>
      <w:r w:rsidRPr="007B6893">
        <w:rPr>
          <w:rFonts w:ascii="Times New Roman" w:eastAsia="Calibri" w:hAnsi="Times New Roman" w:cs="Times New Roman"/>
          <w:sz w:val="24"/>
          <w:szCs w:val="24"/>
        </w:rPr>
        <w:t xml:space="preserve"> или </w:t>
      </w:r>
      <w:r>
        <w:rPr>
          <w:rFonts w:ascii="Times New Roman" w:eastAsia="Calibri" w:hAnsi="Times New Roman" w:cs="Times New Roman"/>
          <w:sz w:val="24"/>
          <w:szCs w:val="24"/>
        </w:rPr>
        <w:t>37,7</w:t>
      </w:r>
      <w:r w:rsidRPr="007B6893">
        <w:rPr>
          <w:rFonts w:ascii="Times New Roman" w:eastAsia="Calibri" w:hAnsi="Times New Roman" w:cs="Times New Roman"/>
          <w:sz w:val="24"/>
          <w:szCs w:val="24"/>
        </w:rPr>
        <w:t xml:space="preserve"> процент</w:t>
      </w:r>
      <w:r>
        <w:rPr>
          <w:rFonts w:ascii="Times New Roman" w:eastAsia="Calibri" w:hAnsi="Times New Roman" w:cs="Times New Roman"/>
          <w:sz w:val="24"/>
          <w:szCs w:val="24"/>
        </w:rPr>
        <w:t>а</w:t>
      </w:r>
      <w:r w:rsidRPr="007B6893">
        <w:rPr>
          <w:rFonts w:ascii="Times New Roman" w:eastAsia="Calibri" w:hAnsi="Times New Roman" w:cs="Times New Roman"/>
          <w:sz w:val="24"/>
          <w:szCs w:val="24"/>
        </w:rPr>
        <w:t xml:space="preserve"> к уточненной росписи.</w:t>
      </w:r>
    </w:p>
    <w:p w:rsidR="001A4229" w:rsidRPr="00A105E6" w:rsidRDefault="001A4229" w:rsidP="001A4229">
      <w:pPr>
        <w:spacing w:after="0" w:line="240" w:lineRule="auto"/>
        <w:ind w:firstLine="709"/>
        <w:jc w:val="both"/>
        <w:rPr>
          <w:rFonts w:ascii="Times New Roman" w:eastAsia="Calibri" w:hAnsi="Times New Roman" w:cs="Times New Roman"/>
          <w:sz w:val="24"/>
          <w:szCs w:val="24"/>
        </w:rPr>
      </w:pPr>
      <w:r w:rsidRPr="00A105E6">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3,3 процента.</w:t>
      </w:r>
    </w:p>
    <w:p w:rsidR="001A4229" w:rsidRPr="003852AA" w:rsidRDefault="001A4229" w:rsidP="001A4229">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852AA">
        <w:rPr>
          <w:rFonts w:ascii="Times New Roman" w:eastAsia="Times New Roman" w:hAnsi="Times New Roman" w:cs="Times New Roman"/>
          <w:i/>
          <w:sz w:val="24"/>
          <w:szCs w:val="24"/>
          <w:lang w:eastAsia="ru-RU"/>
        </w:rPr>
        <w:t>Подпрограмма «Совершенствование условий функционирования системы особо охраняемых природных территорий и системы охраны объектов животного мира Амурской области»</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Times New Roman" w:hAnsi="Times New Roman" w:cs="Times New Roman"/>
          <w:sz w:val="24"/>
          <w:szCs w:val="24"/>
          <w:lang w:eastAsia="ru-RU"/>
        </w:rPr>
        <w:t>Сводной бюджетной росписью н</w:t>
      </w:r>
      <w:r w:rsidRPr="003852AA">
        <w:rPr>
          <w:rFonts w:ascii="Times New Roman" w:eastAsia="Calibri" w:hAnsi="Times New Roman" w:cs="Times New Roman"/>
          <w:sz w:val="24"/>
          <w:szCs w:val="24"/>
        </w:rPr>
        <w:t>а реализацию подпрограммы в 2017 году утверждены ассигнования в сумме 40677,8 тыс. рублей.</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 процентов.</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6,8 процента.</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В полном объеме (100 процентов) исполнены ассигнования, предусмотренные по основным мероприятиям «</w:t>
      </w:r>
      <w:r w:rsidRPr="003852AA">
        <w:rPr>
          <w:rFonts w:ascii="Times New Roman" w:hAnsi="Times New Roman" w:cs="Times New Roman"/>
          <w:sz w:val="24"/>
          <w:szCs w:val="24"/>
        </w:rPr>
        <w:t>Мероприятия по сохранению и восстановлению объектов животного мира, сохранение и развитие особо охраняемых природных территорий</w:t>
      </w:r>
      <w:r w:rsidRPr="003852AA">
        <w:rPr>
          <w:rFonts w:ascii="Times New Roman" w:eastAsia="Calibri" w:hAnsi="Times New Roman" w:cs="Times New Roman"/>
          <w:sz w:val="24"/>
          <w:szCs w:val="24"/>
        </w:rPr>
        <w:t xml:space="preserve">» </w:t>
      </w:r>
      <w:r w:rsidRPr="003852AA">
        <w:rPr>
          <w:rFonts w:ascii="Times New Roman" w:eastAsia="Calibri" w:hAnsi="Times New Roman" w:cs="Times New Roman"/>
          <w:sz w:val="24"/>
          <w:szCs w:val="24"/>
        </w:rPr>
        <w:br/>
        <w:t>(39901,8 тыс. рублей) и «</w:t>
      </w:r>
      <w:r w:rsidRPr="003852AA">
        <w:rPr>
          <w:rFonts w:ascii="Times New Roman" w:hAnsi="Times New Roman" w:cs="Times New Roman"/>
          <w:sz w:val="24"/>
          <w:szCs w:val="24"/>
        </w:rPr>
        <w:t>Обеспечение эффективного исполнения переданных полномочий Российской Федерации</w:t>
      </w:r>
      <w:r w:rsidRPr="003852AA">
        <w:rPr>
          <w:rFonts w:ascii="Times New Roman" w:eastAsia="Calibri" w:hAnsi="Times New Roman" w:cs="Times New Roman"/>
          <w:sz w:val="24"/>
          <w:szCs w:val="24"/>
        </w:rPr>
        <w:t>» (775,8 тыс. рублей).</w:t>
      </w:r>
    </w:p>
    <w:p w:rsidR="001A4229" w:rsidRPr="003852AA" w:rsidRDefault="001A4229" w:rsidP="001A4229">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3852AA">
        <w:rPr>
          <w:rFonts w:ascii="Times New Roman" w:eastAsia="Times New Roman" w:hAnsi="Times New Roman" w:cs="Times New Roman"/>
          <w:i/>
          <w:sz w:val="24"/>
          <w:szCs w:val="24"/>
          <w:lang w:eastAsia="ru-RU"/>
        </w:rPr>
        <w:t>Подпрограмма «Развитие лесного хозяйства в Амурской области»</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 xml:space="preserve">Бюджетные ассигнования по подпрограмме утверждены в расходах областного бюджета в сумме 439888,3 тыс. рублей. </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99,9 процента.</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73,4 процента.</w:t>
      </w:r>
    </w:p>
    <w:p w:rsidR="001A4229" w:rsidRPr="003852AA" w:rsidRDefault="001A4229" w:rsidP="001A4229">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3852AA">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1A4229" w:rsidRPr="003852AA" w:rsidRDefault="001A4229" w:rsidP="001A4229">
      <w:pPr>
        <w:spacing w:after="0" w:line="240" w:lineRule="auto"/>
        <w:ind w:firstLine="709"/>
        <w:jc w:val="both"/>
        <w:rPr>
          <w:rFonts w:ascii="Times New Roman" w:eastAsia="Calibri" w:hAnsi="Times New Roman" w:cs="Times New Roman"/>
          <w:sz w:val="24"/>
          <w:szCs w:val="24"/>
        </w:rPr>
      </w:pPr>
      <w:r w:rsidRPr="003852AA">
        <w:rPr>
          <w:rFonts w:ascii="Times New Roman" w:eastAsia="Times New Roman" w:hAnsi="Times New Roman" w:cs="Times New Roman"/>
          <w:sz w:val="24"/>
          <w:szCs w:val="24"/>
          <w:lang w:eastAsia="ru-RU"/>
        </w:rPr>
        <w:t>Сводной бюджетной росписью н</w:t>
      </w:r>
      <w:r w:rsidRPr="003852AA">
        <w:rPr>
          <w:rFonts w:ascii="Times New Roman" w:eastAsia="Calibri" w:hAnsi="Times New Roman" w:cs="Times New Roman"/>
          <w:sz w:val="24"/>
          <w:szCs w:val="24"/>
        </w:rPr>
        <w:t>а реализацию подпрограммы в 2017 году утверждены ассигнования областного бюджета в сумме 98818,0 тыс. рублей. В общем объеме расходов государственной программы доля расходов подпрограммы составляет 16,5 процента.</w:t>
      </w:r>
    </w:p>
    <w:p w:rsidR="001A4229" w:rsidRPr="003852AA" w:rsidRDefault="001A4229" w:rsidP="001A4229">
      <w:pPr>
        <w:autoSpaceDE w:val="0"/>
        <w:autoSpaceDN w:val="0"/>
        <w:adjustRightInd w:val="0"/>
        <w:spacing w:after="0" w:line="240" w:lineRule="auto"/>
        <w:ind w:firstLine="708"/>
        <w:jc w:val="both"/>
        <w:rPr>
          <w:rFonts w:ascii="Times New Roman" w:eastAsia="Calibri" w:hAnsi="Times New Roman" w:cs="Times New Roman"/>
          <w:sz w:val="24"/>
          <w:szCs w:val="24"/>
        </w:rPr>
      </w:pPr>
      <w:r w:rsidRPr="003852AA">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99,8 процента. В рамках подпрограммы</w:t>
      </w:r>
      <w:r w:rsidRPr="003852AA">
        <w:rPr>
          <w:rFonts w:ascii="Calibri" w:eastAsia="Calibri" w:hAnsi="Calibri" w:cs="Times New Roman"/>
          <w:sz w:val="24"/>
          <w:szCs w:val="24"/>
        </w:rPr>
        <w:t xml:space="preserve"> </w:t>
      </w:r>
      <w:r w:rsidRPr="003852AA">
        <w:rPr>
          <w:rFonts w:ascii="Times New Roman" w:eastAsia="Calibri" w:hAnsi="Times New Roman" w:cs="Times New Roman"/>
          <w:sz w:val="24"/>
          <w:szCs w:val="24"/>
        </w:rPr>
        <w:t xml:space="preserve">осуществлялось финансирование расходов на обеспечение функций исполнительных органов государственной власти области (министерства природных ресурсов Амурской области, управления по охране, контролю и регулированию использования объектов животного мира и среды их обитания Амурской области и министерства лесного хозяйства и пожарной безопасности Амурской области). </w:t>
      </w:r>
    </w:p>
    <w:p w:rsidR="001A4229" w:rsidRPr="00AC461C" w:rsidRDefault="001A4229" w:rsidP="001A4229">
      <w:pPr>
        <w:autoSpaceDE w:val="0"/>
        <w:autoSpaceDN w:val="0"/>
        <w:adjustRightInd w:val="0"/>
        <w:spacing w:after="0" w:line="240" w:lineRule="auto"/>
        <w:ind w:firstLine="709"/>
        <w:jc w:val="both"/>
        <w:rPr>
          <w:rFonts w:ascii="Times New Roman" w:hAnsi="Times New Roman" w:cs="Times New Roman"/>
          <w:bCs/>
          <w:sz w:val="24"/>
          <w:szCs w:val="24"/>
        </w:rPr>
      </w:pPr>
      <w:r w:rsidRPr="003852AA">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2017 году» к с</w:t>
      </w:r>
      <w:r w:rsidRPr="003852AA">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2017 году, государственная программа </w:t>
      </w:r>
      <w:r w:rsidRPr="003852AA">
        <w:rPr>
          <w:rFonts w:ascii="Times New Roman" w:eastAsia="Times New Roman" w:hAnsi="Times New Roman" w:cs="Times New Roman"/>
          <w:sz w:val="24"/>
          <w:szCs w:val="24"/>
          <w:lang w:eastAsia="ru-RU"/>
        </w:rPr>
        <w:t xml:space="preserve">«Охрана окружающей среды на 2014-2020 годы» признана эффективной.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w:t>
      </w:r>
      <w:r w:rsidRPr="00AC461C">
        <w:rPr>
          <w:rFonts w:ascii="Times New Roman" w:eastAsia="Times New Roman" w:hAnsi="Times New Roman" w:cs="Times New Roman"/>
          <w:sz w:val="24"/>
          <w:szCs w:val="24"/>
          <w:lang w:eastAsia="ru-RU"/>
        </w:rPr>
        <w:t xml:space="preserve">В то же время, имеет место невыполнение ряда индикаторов, таких как - </w:t>
      </w:r>
      <w:r w:rsidRPr="00AC461C">
        <w:rPr>
          <w:rFonts w:ascii="Times New Roman" w:hAnsi="Times New Roman" w:cs="Times New Roman"/>
          <w:sz w:val="24"/>
          <w:szCs w:val="24"/>
        </w:rPr>
        <w:t>доля населения, проживающего на замещенной в результате проведения противопаводковых мероприятий территории, к общему числу населения, проживающего на территориях, подверженных негативному воздействию вод (6 % вместо запланированных 6,2 %.)</w:t>
      </w:r>
      <w:r>
        <w:rPr>
          <w:rFonts w:ascii="Times New Roman" w:hAnsi="Times New Roman" w:cs="Times New Roman"/>
          <w:sz w:val="24"/>
          <w:szCs w:val="24"/>
        </w:rPr>
        <w:t>,</w:t>
      </w:r>
      <w:r w:rsidRPr="00AC461C">
        <w:rPr>
          <w:rFonts w:ascii="Times New Roman" w:hAnsi="Times New Roman" w:cs="Times New Roman"/>
          <w:sz w:val="24"/>
          <w:szCs w:val="24"/>
        </w:rPr>
        <w:t xml:space="preserve"> степень обеспеченности промышленно-селитебных территорий системами инженерной защиты от </w:t>
      </w:r>
      <w:r w:rsidRPr="00AC461C">
        <w:rPr>
          <w:rFonts w:ascii="Times New Roman" w:hAnsi="Times New Roman" w:cs="Times New Roman"/>
          <w:sz w:val="24"/>
          <w:szCs w:val="24"/>
        </w:rPr>
        <w:lastRenderedPageBreak/>
        <w:t>наводнений и другого вредного воздействия вод (8 % вместо 8,5 % запланированных)</w:t>
      </w:r>
      <w:r>
        <w:rPr>
          <w:rFonts w:ascii="Times New Roman" w:hAnsi="Times New Roman" w:cs="Times New Roman"/>
          <w:sz w:val="24"/>
          <w:szCs w:val="24"/>
        </w:rPr>
        <w:t xml:space="preserve"> и д</w:t>
      </w:r>
      <w:r w:rsidRPr="00AC461C">
        <w:rPr>
          <w:rFonts w:ascii="Times New Roman" w:hAnsi="Times New Roman" w:cs="Times New Roman"/>
          <w:sz w:val="24"/>
          <w:szCs w:val="24"/>
        </w:rPr>
        <w:t>оля использования расчетной лесосеки</w:t>
      </w:r>
      <w:r>
        <w:rPr>
          <w:rFonts w:ascii="Times New Roman" w:hAnsi="Times New Roman" w:cs="Times New Roman"/>
          <w:sz w:val="24"/>
          <w:szCs w:val="24"/>
        </w:rPr>
        <w:t xml:space="preserve"> </w:t>
      </w:r>
      <w:r w:rsidRPr="00AC461C">
        <w:rPr>
          <w:rFonts w:ascii="Times New Roman" w:hAnsi="Times New Roman" w:cs="Times New Roman"/>
          <w:sz w:val="24"/>
          <w:szCs w:val="24"/>
        </w:rPr>
        <w:t>(</w:t>
      </w:r>
      <w:r>
        <w:rPr>
          <w:rFonts w:ascii="Times New Roman" w:hAnsi="Times New Roman" w:cs="Times New Roman"/>
          <w:sz w:val="24"/>
          <w:szCs w:val="24"/>
        </w:rPr>
        <w:t xml:space="preserve">9,6 </w:t>
      </w:r>
      <w:r w:rsidRPr="00AC461C">
        <w:rPr>
          <w:rFonts w:ascii="Times New Roman" w:hAnsi="Times New Roman" w:cs="Times New Roman"/>
          <w:sz w:val="24"/>
          <w:szCs w:val="24"/>
        </w:rPr>
        <w:t xml:space="preserve">% вместо </w:t>
      </w:r>
      <w:r>
        <w:rPr>
          <w:rFonts w:ascii="Times New Roman" w:hAnsi="Times New Roman" w:cs="Times New Roman"/>
          <w:sz w:val="24"/>
          <w:szCs w:val="24"/>
        </w:rPr>
        <w:t>10,0</w:t>
      </w:r>
      <w:r w:rsidRPr="00AC461C">
        <w:rPr>
          <w:rFonts w:ascii="Times New Roman" w:hAnsi="Times New Roman" w:cs="Times New Roman"/>
          <w:sz w:val="24"/>
          <w:szCs w:val="24"/>
        </w:rPr>
        <w:t xml:space="preserve"> % запланированных).</w:t>
      </w:r>
    </w:p>
    <w:p w:rsidR="001A4229" w:rsidRPr="00A168C4" w:rsidRDefault="001A4229" w:rsidP="001A4229">
      <w:pPr>
        <w:autoSpaceDE w:val="0"/>
        <w:autoSpaceDN w:val="0"/>
        <w:adjustRightInd w:val="0"/>
        <w:spacing w:after="0" w:line="240" w:lineRule="auto"/>
        <w:ind w:firstLine="709"/>
        <w:jc w:val="both"/>
        <w:rPr>
          <w:rFonts w:ascii="Times New Roman" w:hAnsi="Times New Roman" w:cs="Times New Roman"/>
          <w:sz w:val="24"/>
          <w:szCs w:val="24"/>
        </w:rPr>
      </w:pPr>
      <w:r w:rsidRPr="00A168C4">
        <w:rPr>
          <w:rFonts w:ascii="Times New Roman" w:hAnsi="Times New Roman" w:cs="Times New Roman"/>
          <w:bCs/>
          <w:sz w:val="24"/>
          <w:szCs w:val="24"/>
        </w:rPr>
        <w:t>Не достигнуты непосредственные результаты ряда мероприятий госпрограммы:</w:t>
      </w:r>
    </w:p>
    <w:p w:rsidR="001A4229" w:rsidRPr="00A168C4" w:rsidRDefault="001A4229" w:rsidP="001A4229">
      <w:pPr>
        <w:numPr>
          <w:ilvl w:val="0"/>
          <w:numId w:val="17"/>
        </w:numPr>
        <w:tabs>
          <w:tab w:val="clear" w:pos="720"/>
          <w:tab w:val="num" w:pos="993"/>
        </w:tabs>
        <w:spacing w:after="0" w:line="240" w:lineRule="auto"/>
        <w:ind w:left="0" w:firstLine="709"/>
        <w:jc w:val="both"/>
        <w:rPr>
          <w:rFonts w:ascii="Times New Roman" w:hAnsi="Times New Roman" w:cs="Times New Roman"/>
          <w:sz w:val="24"/>
          <w:szCs w:val="24"/>
        </w:rPr>
      </w:pPr>
      <w:r w:rsidRPr="00A168C4">
        <w:rPr>
          <w:rFonts w:ascii="Times New Roman" w:hAnsi="Times New Roman" w:cs="Times New Roman"/>
          <w:sz w:val="24"/>
          <w:szCs w:val="24"/>
        </w:rPr>
        <w:t>доля протяженности русел рек, на которых осуществлена оптимизация их пропускной способности, к общей протяженности, нуждающейся в увеличении</w:t>
      </w:r>
      <w:r>
        <w:rPr>
          <w:rFonts w:ascii="Times New Roman" w:hAnsi="Times New Roman" w:cs="Times New Roman"/>
          <w:sz w:val="24"/>
          <w:szCs w:val="24"/>
        </w:rPr>
        <w:t>,</w:t>
      </w:r>
      <w:r w:rsidRPr="00A168C4">
        <w:rPr>
          <w:rFonts w:ascii="Times New Roman" w:hAnsi="Times New Roman" w:cs="Times New Roman"/>
          <w:sz w:val="24"/>
          <w:szCs w:val="24"/>
        </w:rPr>
        <w:t xml:space="preserve"> составила 4,7 процента вместо запланированных 5 процентов;</w:t>
      </w:r>
    </w:p>
    <w:p w:rsidR="001A4229" w:rsidRPr="00A168C4" w:rsidRDefault="001A4229" w:rsidP="001A4229">
      <w:pPr>
        <w:numPr>
          <w:ilvl w:val="0"/>
          <w:numId w:val="17"/>
        </w:numPr>
        <w:tabs>
          <w:tab w:val="clear" w:pos="720"/>
          <w:tab w:val="num" w:pos="993"/>
        </w:tabs>
        <w:spacing w:after="0" w:line="240" w:lineRule="auto"/>
        <w:ind w:left="0" w:firstLine="709"/>
        <w:jc w:val="both"/>
        <w:rPr>
          <w:rFonts w:ascii="Times New Roman" w:hAnsi="Times New Roman" w:cs="Times New Roman"/>
          <w:sz w:val="24"/>
          <w:szCs w:val="24"/>
        </w:rPr>
      </w:pPr>
      <w:r w:rsidRPr="00A168C4">
        <w:rPr>
          <w:rFonts w:ascii="Times New Roman" w:hAnsi="Times New Roman" w:cs="Times New Roman"/>
          <w:sz w:val="24"/>
          <w:szCs w:val="24"/>
        </w:rPr>
        <w:t>расчистка русел рек и поверхностных водных объектов проведена на протяжении 47,1 км вместо запланированных 49,6 км.</w:t>
      </w:r>
    </w:p>
    <w:p w:rsidR="001A4229" w:rsidRPr="001A4229" w:rsidRDefault="001A4229" w:rsidP="001A4229">
      <w:pPr>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sidRPr="006F0E7A">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1A4229">
        <w:rPr>
          <w:rFonts w:ascii="Times New Roman" w:eastAsia="Times New Roman" w:hAnsi="Times New Roman" w:cs="Times New Roman"/>
          <w:sz w:val="24"/>
          <w:szCs w:val="24"/>
          <w:lang w:eastAsia="ru-RU"/>
        </w:rPr>
        <w:t>рисунке 24.</w:t>
      </w:r>
    </w:p>
    <w:p w:rsidR="001A4229" w:rsidRPr="005A6E37" w:rsidRDefault="001A4229" w:rsidP="001A4229">
      <w:pPr>
        <w:autoSpaceDE w:val="0"/>
        <w:autoSpaceDN w:val="0"/>
        <w:adjustRightInd w:val="0"/>
        <w:spacing w:after="0" w:line="288" w:lineRule="auto"/>
        <w:ind w:firstLine="708"/>
        <w:jc w:val="both"/>
        <w:rPr>
          <w:rFonts w:ascii="Times New Roman" w:eastAsia="Times New Roman" w:hAnsi="Times New Roman" w:cs="Times New Roman"/>
          <w:sz w:val="24"/>
          <w:szCs w:val="24"/>
          <w:lang w:eastAsia="ru-RU"/>
        </w:rPr>
      </w:pPr>
      <w:r>
        <w:rPr>
          <w:noProof/>
          <w:lang w:eastAsia="ru-RU"/>
        </w:rPr>
        <w:drawing>
          <wp:inline distT="0" distB="0" distL="0" distR="0" wp14:anchorId="221ED464" wp14:editId="13C6C3B1">
            <wp:extent cx="5764695" cy="3673503"/>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4229" w:rsidRPr="00BF5AA9" w:rsidRDefault="001A4229" w:rsidP="001A4229">
      <w:pPr>
        <w:spacing w:after="0" w:line="240" w:lineRule="auto"/>
        <w:ind w:firstLine="709"/>
        <w:jc w:val="center"/>
        <w:rPr>
          <w:rFonts w:ascii="Times New Roman" w:eastAsia="Calibri" w:hAnsi="Times New Roman" w:cs="Times New Roman"/>
          <w:b/>
          <w:noProof/>
          <w:sz w:val="24"/>
          <w:szCs w:val="24"/>
          <w:lang w:eastAsia="ru-RU"/>
        </w:rPr>
      </w:pPr>
      <w:r w:rsidRPr="00BF5AA9">
        <w:rPr>
          <w:rFonts w:ascii="Times New Roman" w:eastAsia="Calibri" w:hAnsi="Times New Roman" w:cs="Times New Roman"/>
          <w:b/>
          <w:noProof/>
          <w:sz w:val="24"/>
          <w:szCs w:val="24"/>
          <w:lang w:eastAsia="ru-RU"/>
        </w:rPr>
        <w:t>Рис.</w:t>
      </w:r>
      <w:r w:rsidRPr="001A4229">
        <w:rPr>
          <w:rFonts w:ascii="Times New Roman" w:eastAsia="Calibri" w:hAnsi="Times New Roman" w:cs="Times New Roman"/>
          <w:b/>
          <w:noProof/>
          <w:sz w:val="24"/>
          <w:szCs w:val="24"/>
          <w:lang w:eastAsia="ru-RU"/>
        </w:rPr>
        <w:t>24 –</w:t>
      </w:r>
      <w:r w:rsidRPr="00BF5AA9">
        <w:rPr>
          <w:rFonts w:ascii="Times New Roman" w:eastAsia="Calibri" w:hAnsi="Times New Roman" w:cs="Times New Roman"/>
          <w:b/>
          <w:noProof/>
          <w:sz w:val="24"/>
          <w:szCs w:val="24"/>
          <w:lang w:eastAsia="ru-RU"/>
        </w:rPr>
        <w:t xml:space="preserve"> Основные направления расходов по государственной программе </w:t>
      </w:r>
      <w:r w:rsidRPr="00614C10">
        <w:rPr>
          <w:rFonts w:ascii="Times New Roman" w:eastAsia="Times New Roman" w:hAnsi="Times New Roman" w:cs="Times New Roman"/>
          <w:b/>
          <w:sz w:val="24"/>
          <w:szCs w:val="24"/>
          <w:lang w:eastAsia="ru-RU"/>
        </w:rPr>
        <w:t>«Охрана окружающей среды на 2014-2020 годы»</w:t>
      </w:r>
      <w:r w:rsidRPr="00BF5AA9">
        <w:rPr>
          <w:rFonts w:ascii="Times New Roman" w:eastAsia="Times New Roman" w:hAnsi="Times New Roman" w:cs="Times New Roman"/>
          <w:b/>
          <w:sz w:val="24"/>
          <w:szCs w:val="24"/>
          <w:lang w:eastAsia="ru-RU"/>
        </w:rPr>
        <w:t xml:space="preserve"> </w:t>
      </w:r>
      <w:r w:rsidRPr="00BF5AA9">
        <w:rPr>
          <w:rFonts w:ascii="Times New Roman" w:eastAsia="Calibri" w:hAnsi="Times New Roman" w:cs="Times New Roman"/>
          <w:b/>
          <w:noProof/>
          <w:sz w:val="24"/>
          <w:szCs w:val="24"/>
          <w:lang w:eastAsia="ru-RU"/>
        </w:rPr>
        <w:t>в 201</w:t>
      </w:r>
      <w:r>
        <w:rPr>
          <w:rFonts w:ascii="Times New Roman" w:eastAsia="Calibri" w:hAnsi="Times New Roman" w:cs="Times New Roman"/>
          <w:b/>
          <w:noProof/>
          <w:sz w:val="24"/>
          <w:szCs w:val="24"/>
          <w:lang w:eastAsia="ru-RU"/>
        </w:rPr>
        <w:t>7</w:t>
      </w:r>
      <w:r w:rsidRPr="00BF5AA9">
        <w:rPr>
          <w:rFonts w:ascii="Times New Roman" w:eastAsia="Calibri" w:hAnsi="Times New Roman" w:cs="Times New Roman"/>
          <w:b/>
          <w:noProof/>
          <w:sz w:val="24"/>
          <w:szCs w:val="24"/>
          <w:lang w:eastAsia="ru-RU"/>
        </w:rPr>
        <w:t xml:space="preserve"> году</w:t>
      </w:r>
      <w:r>
        <w:rPr>
          <w:rFonts w:ascii="Times New Roman" w:eastAsia="Calibri" w:hAnsi="Times New Roman" w:cs="Times New Roman"/>
          <w:b/>
          <w:noProof/>
          <w:sz w:val="24"/>
          <w:szCs w:val="24"/>
          <w:lang w:eastAsia="ru-RU"/>
        </w:rPr>
        <w:t>, млн. руб.</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1A4229" w:rsidRPr="00270CB0" w:rsidRDefault="001A4229" w:rsidP="001A422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70CB0">
        <w:rPr>
          <w:rFonts w:ascii="Times New Roman" w:eastAsia="Times New Roman" w:hAnsi="Times New Roman" w:cs="Times New Roman"/>
          <w:b/>
          <w:sz w:val="24"/>
          <w:szCs w:val="24"/>
          <w:lang w:eastAsia="ru-RU"/>
        </w:rPr>
        <w:t>5.5. 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w:t>
      </w:r>
    </w:p>
    <w:p w:rsidR="001A4229" w:rsidRPr="00270CB0"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0CB0">
        <w:rPr>
          <w:rFonts w:ascii="Times New Roman" w:eastAsia="Times New Roman" w:hAnsi="Times New Roman" w:cs="Times New Roman"/>
          <w:sz w:val="24"/>
          <w:szCs w:val="24"/>
          <w:lang w:eastAsia="ru-RU"/>
        </w:rPr>
        <w:t xml:space="preserve">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утверждена постановлением Правительства Амурской области </w:t>
      </w:r>
      <w:r w:rsidRPr="00270CB0">
        <w:rPr>
          <w:rFonts w:ascii="Times New Roman" w:eastAsia="Times New Roman" w:hAnsi="Times New Roman" w:cs="Times New Roman"/>
          <w:sz w:val="24"/>
          <w:szCs w:val="24"/>
          <w:lang w:eastAsia="ru-RU"/>
        </w:rPr>
        <w:br/>
        <w:t>от 25.09.2013 № 452 с объемом ассигнований на 2017 год в сумме 3635577,3</w:t>
      </w:r>
      <w:r>
        <w:rPr>
          <w:rFonts w:ascii="Times New Roman" w:eastAsia="Times New Roman" w:hAnsi="Times New Roman" w:cs="Times New Roman"/>
          <w:sz w:val="24"/>
          <w:szCs w:val="24"/>
          <w:lang w:eastAsia="ru-RU"/>
        </w:rPr>
        <w:t xml:space="preserve"> тыс. рублей, в том числе за счет средств федерального бюджета - </w:t>
      </w:r>
      <w:r w:rsidRPr="00270CB0">
        <w:rPr>
          <w:rFonts w:ascii="Times New Roman" w:eastAsia="Times New Roman" w:hAnsi="Times New Roman" w:cs="Times New Roman"/>
          <w:sz w:val="24"/>
          <w:szCs w:val="24"/>
          <w:lang w:eastAsia="ru-RU"/>
        </w:rPr>
        <w:t>154700,3</w:t>
      </w:r>
      <w:r>
        <w:rPr>
          <w:rFonts w:ascii="Times New Roman" w:eastAsia="Times New Roman" w:hAnsi="Times New Roman" w:cs="Times New Roman"/>
          <w:sz w:val="24"/>
          <w:szCs w:val="24"/>
          <w:lang w:eastAsia="ru-RU"/>
        </w:rPr>
        <w:t xml:space="preserve"> тыс. рублей; </w:t>
      </w:r>
      <w:r w:rsidRPr="00270CB0">
        <w:rPr>
          <w:rFonts w:ascii="Times New Roman" w:eastAsia="Times New Roman" w:hAnsi="Times New Roman" w:cs="Times New Roman"/>
          <w:sz w:val="24"/>
          <w:szCs w:val="24"/>
          <w:lang w:eastAsia="ru-RU"/>
        </w:rPr>
        <w:t>за счет средств областного бюджета - 3270877,1 тыс. рублей;</w:t>
      </w:r>
      <w:r>
        <w:rPr>
          <w:rFonts w:ascii="Times New Roman" w:eastAsia="Times New Roman" w:hAnsi="Times New Roman" w:cs="Times New Roman"/>
          <w:sz w:val="24"/>
          <w:szCs w:val="24"/>
          <w:lang w:eastAsia="ru-RU"/>
        </w:rPr>
        <w:t xml:space="preserve"> </w:t>
      </w:r>
      <w:r w:rsidRPr="00270CB0">
        <w:rPr>
          <w:rFonts w:ascii="Times New Roman" w:eastAsia="Times New Roman" w:hAnsi="Times New Roman" w:cs="Times New Roman"/>
          <w:sz w:val="24"/>
          <w:szCs w:val="24"/>
          <w:lang w:eastAsia="ru-RU"/>
        </w:rPr>
        <w:t>за счет средств Фонда содействия реформированию жилищно-коммунального хозяйства, поступающих в областной бюджет – 210000,0 тыс. рублей.</w:t>
      </w:r>
    </w:p>
    <w:p w:rsidR="001A4229" w:rsidRPr="00270CB0" w:rsidRDefault="008649C0"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0CB0">
        <w:rPr>
          <w:rFonts w:ascii="Times New Roman" w:eastAsia="Times New Roman" w:hAnsi="Times New Roman" w:cs="Times New Roman"/>
          <w:sz w:val="24"/>
          <w:szCs w:val="24"/>
          <w:lang w:eastAsia="ru-RU"/>
        </w:rPr>
        <w:t>Координатором государственной программы является министерство жилищно-коммунального хозяйства Амурской области.</w:t>
      </w:r>
    </w:p>
    <w:p w:rsidR="001A4229" w:rsidRPr="00454312"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0CB0">
        <w:rPr>
          <w:rFonts w:ascii="Times New Roman" w:eastAsia="Times New Roman" w:hAnsi="Times New Roman" w:cs="Times New Roman"/>
          <w:sz w:val="24"/>
          <w:szCs w:val="24"/>
          <w:lang w:eastAsia="ru-RU"/>
        </w:rPr>
        <w:t xml:space="preserve">Законом Амурской области «Об областном бюджете на 2017 год и плановый период 2018 и 2019 годов» на реализацию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на 2017 год утверждены бюджетные ассигнования в сумме 3627994,0 тыс. рублей, что меньше ассигнований, предусмотренных государственной программой на </w:t>
      </w:r>
      <w:r w:rsidRPr="004C6C77">
        <w:rPr>
          <w:rFonts w:ascii="Times New Roman" w:eastAsia="Times New Roman" w:hAnsi="Times New Roman" w:cs="Times New Roman"/>
          <w:sz w:val="24"/>
          <w:szCs w:val="24"/>
          <w:lang w:eastAsia="ru-RU"/>
        </w:rPr>
        <w:t xml:space="preserve">7583,3 тыс. рублей. </w:t>
      </w:r>
      <w:r>
        <w:rPr>
          <w:rFonts w:ascii="Times New Roman" w:eastAsia="Times New Roman" w:hAnsi="Times New Roman" w:cs="Times New Roman"/>
          <w:sz w:val="24"/>
          <w:szCs w:val="24"/>
          <w:lang w:eastAsia="ru-RU"/>
        </w:rPr>
        <w:t xml:space="preserve">Данное отклонение связано с тем, законом области об </w:t>
      </w:r>
      <w:r>
        <w:rPr>
          <w:rFonts w:ascii="Times New Roman" w:eastAsia="Times New Roman" w:hAnsi="Times New Roman" w:cs="Times New Roman"/>
          <w:sz w:val="24"/>
          <w:szCs w:val="24"/>
          <w:lang w:eastAsia="ru-RU"/>
        </w:rPr>
        <w:lastRenderedPageBreak/>
        <w:t>областном бюджете не предусмотрены средства федерального бюджета по мероприятию</w:t>
      </w:r>
      <w:r w:rsidRPr="004543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54312">
        <w:rPr>
          <w:rFonts w:ascii="Times New Roman" w:eastAsia="Times New Roman" w:hAnsi="Times New Roman" w:cs="Times New Roman"/>
          <w:sz w:val="24"/>
          <w:szCs w:val="24"/>
          <w:lang w:eastAsia="ru-RU"/>
        </w:rPr>
        <w:t>Поддержка обустройства мест массового отды</w:t>
      </w:r>
      <w:r>
        <w:rPr>
          <w:rFonts w:ascii="Times New Roman" w:eastAsia="Times New Roman" w:hAnsi="Times New Roman" w:cs="Times New Roman"/>
          <w:sz w:val="24"/>
          <w:szCs w:val="24"/>
          <w:lang w:eastAsia="ru-RU"/>
        </w:rPr>
        <w:t>ха населения (городских парков)» и не в полном объеме предусмотрены средства по мероприятию «расходы, направленные на модернизацию коммунальной инфраструктуры».</w:t>
      </w:r>
    </w:p>
    <w:p w:rsidR="001A4229" w:rsidRPr="00B37CD9"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7CD9">
        <w:rPr>
          <w:rFonts w:ascii="Times New Roman" w:eastAsia="Times New Roman" w:hAnsi="Times New Roman" w:cs="Times New Roman"/>
          <w:sz w:val="24"/>
          <w:szCs w:val="24"/>
          <w:lang w:eastAsia="ru-RU"/>
        </w:rPr>
        <w:t>Сводной бюджетной росписью расходов областного бюджета на 2017 год на реализацию программы предусмотрено 3636027,3 тыс. рублей.</w:t>
      </w:r>
    </w:p>
    <w:p w:rsidR="001A4229" w:rsidRPr="00397266"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7CD9">
        <w:rPr>
          <w:rFonts w:ascii="Times New Roman" w:eastAsia="Times New Roman" w:hAnsi="Times New Roman" w:cs="Times New Roman"/>
          <w:sz w:val="24"/>
          <w:szCs w:val="24"/>
          <w:lang w:eastAsia="ru-RU"/>
        </w:rPr>
        <w:t>Отклонение плановых показателей сводной бюджетной росписи расходов</w:t>
      </w:r>
      <w:r>
        <w:rPr>
          <w:rFonts w:ascii="Times New Roman" w:eastAsia="Times New Roman" w:hAnsi="Times New Roman" w:cs="Times New Roman"/>
          <w:sz w:val="24"/>
          <w:szCs w:val="24"/>
          <w:lang w:eastAsia="ru-RU"/>
        </w:rPr>
        <w:t xml:space="preserve"> в сторону увеличения</w:t>
      </w:r>
      <w:r w:rsidRPr="00B37CD9">
        <w:rPr>
          <w:rFonts w:ascii="Times New Roman" w:eastAsia="Times New Roman" w:hAnsi="Times New Roman" w:cs="Times New Roman"/>
          <w:sz w:val="24"/>
          <w:szCs w:val="24"/>
          <w:lang w:eastAsia="ru-RU"/>
        </w:rPr>
        <w:t xml:space="preserve"> от плановых показателей, утвержденных законом об областном бюджете</w:t>
      </w:r>
      <w:r>
        <w:rPr>
          <w:rFonts w:ascii="Times New Roman" w:eastAsia="Times New Roman" w:hAnsi="Times New Roman" w:cs="Times New Roman"/>
          <w:sz w:val="24"/>
          <w:szCs w:val="24"/>
          <w:lang w:eastAsia="ru-RU"/>
        </w:rPr>
        <w:t>,</w:t>
      </w:r>
      <w:r w:rsidRPr="00B37CD9">
        <w:t xml:space="preserve"> </w:t>
      </w:r>
      <w:r w:rsidRPr="00B37CD9">
        <w:rPr>
          <w:rFonts w:ascii="Times New Roman" w:eastAsia="Times New Roman" w:hAnsi="Times New Roman" w:cs="Times New Roman"/>
          <w:sz w:val="24"/>
          <w:szCs w:val="24"/>
          <w:lang w:eastAsia="ru-RU"/>
        </w:rPr>
        <w:t>составляет 803</w:t>
      </w:r>
      <w:r>
        <w:rPr>
          <w:rFonts w:ascii="Times New Roman" w:eastAsia="Times New Roman" w:hAnsi="Times New Roman" w:cs="Times New Roman"/>
          <w:sz w:val="24"/>
          <w:szCs w:val="24"/>
          <w:lang w:eastAsia="ru-RU"/>
        </w:rPr>
        <w:t>3,3</w:t>
      </w:r>
      <w:r w:rsidRPr="00B37CD9">
        <w:rPr>
          <w:rFonts w:ascii="Times New Roman" w:eastAsia="Times New Roman" w:hAnsi="Times New Roman" w:cs="Times New Roman"/>
          <w:sz w:val="24"/>
          <w:szCs w:val="24"/>
          <w:lang w:eastAsia="ru-RU"/>
        </w:rPr>
        <w:t xml:space="preserve"> тыс. рублей. </w:t>
      </w:r>
      <w:r w:rsidRPr="00397266">
        <w:rPr>
          <w:rFonts w:ascii="Times New Roman" w:eastAsia="Times New Roman" w:hAnsi="Times New Roman" w:cs="Times New Roman"/>
          <w:sz w:val="24"/>
          <w:szCs w:val="24"/>
          <w:lang w:eastAsia="ru-RU"/>
        </w:rPr>
        <w:t>Данное отклонение связано с увеличением бюджетной роспис</w:t>
      </w:r>
      <w:r>
        <w:rPr>
          <w:rFonts w:ascii="Times New Roman" w:eastAsia="Times New Roman" w:hAnsi="Times New Roman" w:cs="Times New Roman"/>
          <w:sz w:val="24"/>
          <w:szCs w:val="24"/>
          <w:lang w:eastAsia="ru-RU"/>
        </w:rPr>
        <w:t>и</w:t>
      </w:r>
      <w:r w:rsidRPr="00397266">
        <w:rPr>
          <w:rFonts w:ascii="Times New Roman" w:eastAsia="Times New Roman" w:hAnsi="Times New Roman" w:cs="Times New Roman"/>
          <w:sz w:val="24"/>
          <w:szCs w:val="24"/>
          <w:lang w:eastAsia="ru-RU"/>
        </w:rPr>
        <w:t xml:space="preserve"> расходов, без внесения изменений в закон об областном бюджете:</w:t>
      </w:r>
    </w:p>
    <w:p w:rsidR="001A4229" w:rsidRPr="00397266"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7266">
        <w:rPr>
          <w:rFonts w:ascii="Times New Roman" w:eastAsia="Times New Roman" w:hAnsi="Times New Roman" w:cs="Times New Roman"/>
          <w:sz w:val="24"/>
          <w:szCs w:val="24"/>
          <w:lang w:eastAsia="ru-RU"/>
        </w:rPr>
        <w:t>- на средства федерального бюджета, поступивших на поддержку обустройства мест массового отдыха населения (городских парков) в сумме 7712,9 тыс. рублей;</w:t>
      </w:r>
    </w:p>
    <w:p w:rsidR="001A4229" w:rsidRPr="00BA5C62"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5C62">
        <w:rPr>
          <w:rFonts w:ascii="Times New Roman" w:eastAsia="Times New Roman" w:hAnsi="Times New Roman" w:cs="Times New Roman"/>
          <w:sz w:val="24"/>
          <w:szCs w:val="24"/>
          <w:lang w:eastAsia="ru-RU"/>
        </w:rPr>
        <w:t>- на с</w:t>
      </w:r>
      <w:r>
        <w:rPr>
          <w:rFonts w:ascii="Times New Roman" w:eastAsia="Times New Roman" w:hAnsi="Times New Roman" w:cs="Times New Roman"/>
          <w:sz w:val="24"/>
          <w:szCs w:val="24"/>
          <w:lang w:eastAsia="ru-RU"/>
        </w:rPr>
        <w:t>умму с</w:t>
      </w:r>
      <w:r w:rsidRPr="00BA5C62">
        <w:rPr>
          <w:rFonts w:ascii="Times New Roman" w:eastAsia="Times New Roman" w:hAnsi="Times New Roman" w:cs="Times New Roman"/>
          <w:sz w:val="24"/>
          <w:szCs w:val="24"/>
          <w:lang w:eastAsia="ru-RU"/>
        </w:rPr>
        <w:t>редств, направленны</w:t>
      </w:r>
      <w:r>
        <w:rPr>
          <w:rFonts w:ascii="Times New Roman" w:eastAsia="Times New Roman" w:hAnsi="Times New Roman" w:cs="Times New Roman"/>
          <w:sz w:val="24"/>
          <w:szCs w:val="24"/>
          <w:lang w:eastAsia="ru-RU"/>
        </w:rPr>
        <w:t>х</w:t>
      </w:r>
      <w:r w:rsidRPr="00BA5C62">
        <w:rPr>
          <w:rFonts w:ascii="Times New Roman" w:eastAsia="Times New Roman" w:hAnsi="Times New Roman" w:cs="Times New Roman"/>
          <w:sz w:val="24"/>
          <w:szCs w:val="24"/>
          <w:lang w:eastAsia="ru-RU"/>
        </w:rPr>
        <w:t xml:space="preserve"> на оплату исп</w:t>
      </w:r>
      <w:r>
        <w:rPr>
          <w:rFonts w:ascii="Times New Roman" w:eastAsia="Times New Roman" w:hAnsi="Times New Roman" w:cs="Times New Roman"/>
          <w:sz w:val="24"/>
          <w:szCs w:val="24"/>
          <w:lang w:eastAsia="ru-RU"/>
        </w:rPr>
        <w:t xml:space="preserve">олнительных листов в сумме </w:t>
      </w:r>
      <w:r>
        <w:rPr>
          <w:rFonts w:ascii="Times New Roman" w:eastAsia="Times New Roman" w:hAnsi="Times New Roman" w:cs="Times New Roman"/>
          <w:sz w:val="24"/>
          <w:szCs w:val="24"/>
          <w:lang w:eastAsia="ru-RU"/>
        </w:rPr>
        <w:br/>
        <w:t>320,4</w:t>
      </w:r>
      <w:r w:rsidRPr="00BA5C62">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(министерством здравоохранения области на запрос контрольно-счетной палаты области представлена информация с документами, подтверждающими правомерность увеличения ассигнований на основании абз. 4 п.3 ст. 217 Бюджетного кодекса Российской Федерации)</w:t>
      </w:r>
      <w:r w:rsidRPr="00BA5C62">
        <w:rPr>
          <w:rFonts w:ascii="Times New Roman" w:eastAsia="Times New Roman" w:hAnsi="Times New Roman" w:cs="Times New Roman"/>
          <w:sz w:val="24"/>
          <w:szCs w:val="24"/>
          <w:lang w:eastAsia="ru-RU"/>
        </w:rPr>
        <w:t xml:space="preserve">. </w:t>
      </w:r>
    </w:p>
    <w:p w:rsidR="001A4229" w:rsidRPr="00397266"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7266">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3333706,8</w:t>
      </w:r>
      <w:r w:rsidRPr="00397266">
        <w:rPr>
          <w:rFonts w:ascii="Times New Roman" w:eastAsia="Times New Roman" w:hAnsi="Times New Roman" w:cs="Times New Roman"/>
          <w:sz w:val="24"/>
          <w:szCs w:val="24"/>
          <w:lang w:eastAsia="ru-RU"/>
        </w:rPr>
        <w:t xml:space="preserve"> тыс. рублей, или 91,7 процента (объем неисполненных назначений составил 302320,</w:t>
      </w:r>
      <w:r>
        <w:rPr>
          <w:rFonts w:ascii="Times New Roman" w:eastAsia="Times New Roman" w:hAnsi="Times New Roman" w:cs="Times New Roman"/>
          <w:sz w:val="24"/>
          <w:szCs w:val="24"/>
          <w:lang w:eastAsia="ru-RU"/>
        </w:rPr>
        <w:t>5</w:t>
      </w:r>
      <w:r w:rsidRPr="00397266">
        <w:rPr>
          <w:rFonts w:ascii="Times New Roman" w:eastAsia="Times New Roman" w:hAnsi="Times New Roman" w:cs="Times New Roman"/>
          <w:sz w:val="24"/>
          <w:szCs w:val="24"/>
          <w:lang w:eastAsia="ru-RU"/>
        </w:rPr>
        <w:t xml:space="preserve"> тыс. рублей).</w:t>
      </w:r>
    </w:p>
    <w:p w:rsidR="001A4229" w:rsidRPr="00397266"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7266">
        <w:rPr>
          <w:rFonts w:ascii="Times New Roman" w:eastAsia="Times New Roman" w:hAnsi="Times New Roman" w:cs="Times New Roman"/>
          <w:sz w:val="24"/>
          <w:szCs w:val="24"/>
          <w:lang w:eastAsia="ru-RU"/>
        </w:rPr>
        <w:t>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включает 4 подпрограммы.</w:t>
      </w:r>
    </w:p>
    <w:p w:rsidR="001A4229" w:rsidRPr="00397266" w:rsidRDefault="001A4229" w:rsidP="001A42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7266">
        <w:rPr>
          <w:rFonts w:ascii="Times New Roman" w:eastAsia="Times New Roman" w:hAnsi="Times New Roman" w:cs="Times New Roman"/>
          <w:sz w:val="24"/>
          <w:szCs w:val="24"/>
          <w:lang w:eastAsia="ru-RU"/>
        </w:rPr>
        <w:t>В таблице</w:t>
      </w:r>
      <w:r>
        <w:rPr>
          <w:rFonts w:ascii="Times New Roman" w:eastAsia="Times New Roman" w:hAnsi="Times New Roman" w:cs="Times New Roman"/>
          <w:sz w:val="24"/>
          <w:szCs w:val="24"/>
          <w:lang w:eastAsia="ru-RU"/>
        </w:rPr>
        <w:t xml:space="preserve"> </w:t>
      </w:r>
      <w:r w:rsidR="00B3726F">
        <w:rPr>
          <w:rFonts w:ascii="Times New Roman" w:eastAsia="Times New Roman" w:hAnsi="Times New Roman" w:cs="Times New Roman"/>
          <w:sz w:val="24"/>
          <w:szCs w:val="24"/>
          <w:lang w:eastAsia="ru-RU"/>
        </w:rPr>
        <w:t>8</w:t>
      </w:r>
      <w:r w:rsidRPr="00397266">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w:t>
      </w:r>
      <w:r>
        <w:rPr>
          <w:rFonts w:ascii="Times New Roman" w:eastAsia="Times New Roman" w:hAnsi="Times New Roman" w:cs="Times New Roman"/>
          <w:sz w:val="24"/>
          <w:szCs w:val="24"/>
          <w:lang w:eastAsia="ru-RU"/>
        </w:rPr>
        <w:t xml:space="preserve">за 2017 год </w:t>
      </w:r>
      <w:r w:rsidRPr="00397266">
        <w:rPr>
          <w:rFonts w:ascii="Times New Roman" w:eastAsia="Times New Roman" w:hAnsi="Times New Roman" w:cs="Times New Roman"/>
          <w:sz w:val="24"/>
          <w:szCs w:val="24"/>
          <w:lang w:eastAsia="ru-RU"/>
        </w:rPr>
        <w:t>в разрезе подпрограмм.</w:t>
      </w:r>
    </w:p>
    <w:p w:rsidR="001A4229" w:rsidRPr="00397266" w:rsidRDefault="001A4229" w:rsidP="001A4229">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7266">
        <w:rPr>
          <w:rFonts w:ascii="Times New Roman" w:eastAsia="Times New Roman" w:hAnsi="Times New Roman" w:cs="Times New Roman"/>
          <w:sz w:val="24"/>
          <w:szCs w:val="24"/>
          <w:lang w:eastAsia="ru-RU"/>
        </w:rPr>
        <w:t>Таблица</w:t>
      </w:r>
      <w:r w:rsidR="00B3726F">
        <w:rPr>
          <w:rFonts w:ascii="Times New Roman" w:eastAsia="Times New Roman" w:hAnsi="Times New Roman" w:cs="Times New Roman"/>
          <w:sz w:val="24"/>
          <w:szCs w:val="24"/>
          <w:lang w:eastAsia="ru-RU"/>
        </w:rPr>
        <w:t xml:space="preserve"> 8</w:t>
      </w:r>
    </w:p>
    <w:p w:rsidR="001A4229" w:rsidRPr="00C14550" w:rsidRDefault="001A4229" w:rsidP="001A422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14550">
        <w:rPr>
          <w:rFonts w:ascii="Times New Roman" w:eastAsia="Times New Roman" w:hAnsi="Times New Roman" w:cs="Times New Roman"/>
          <w:b/>
          <w:sz w:val="24"/>
          <w:szCs w:val="24"/>
          <w:lang w:eastAsia="ru-RU"/>
        </w:rPr>
        <w:t>Информация об исполнении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w:t>
      </w:r>
    </w:p>
    <w:p w:rsidR="001A4229" w:rsidRPr="00397266" w:rsidRDefault="001A4229" w:rsidP="001A4229">
      <w:pPr>
        <w:widowControl w:val="0"/>
        <w:autoSpaceDE w:val="0"/>
        <w:autoSpaceDN w:val="0"/>
        <w:adjustRightInd w:val="0"/>
        <w:spacing w:before="120" w:after="0" w:line="240" w:lineRule="auto"/>
        <w:jc w:val="right"/>
        <w:rPr>
          <w:rFonts w:ascii="Times New Roman" w:eastAsia="Times New Roman" w:hAnsi="Times New Roman" w:cs="Times New Roman"/>
          <w:sz w:val="24"/>
          <w:szCs w:val="24"/>
          <w:lang w:eastAsia="ru-RU"/>
        </w:rPr>
      </w:pPr>
      <w:r w:rsidRPr="00397266">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4503"/>
        <w:gridCol w:w="1151"/>
        <w:gridCol w:w="1417"/>
        <w:gridCol w:w="1321"/>
        <w:gridCol w:w="1231"/>
      </w:tblGrid>
      <w:tr w:rsidR="001A4229" w:rsidRPr="00735951" w:rsidTr="00B3726F">
        <w:trPr>
          <w:trHeight w:val="687"/>
        </w:trPr>
        <w:tc>
          <w:tcPr>
            <w:tcW w:w="4503" w:type="dxa"/>
          </w:tcPr>
          <w:p w:rsidR="001A4229" w:rsidRPr="00735951" w:rsidRDefault="001A4229" w:rsidP="00F07C41">
            <w:pPr>
              <w:widowControl w:val="0"/>
              <w:autoSpaceDE w:val="0"/>
              <w:autoSpaceDN w:val="0"/>
              <w:adjustRightInd w:val="0"/>
              <w:jc w:val="center"/>
              <w:rPr>
                <w:bCs/>
                <w:sz w:val="22"/>
                <w:szCs w:val="22"/>
              </w:rPr>
            </w:pPr>
            <w:r w:rsidRPr="00735951">
              <w:rPr>
                <w:bCs/>
                <w:sz w:val="22"/>
                <w:szCs w:val="22"/>
              </w:rPr>
              <w:t>Наименование государственной программы/подпрограммы</w:t>
            </w:r>
          </w:p>
        </w:tc>
        <w:tc>
          <w:tcPr>
            <w:tcW w:w="1088" w:type="dxa"/>
            <w:noWrap/>
          </w:tcPr>
          <w:p w:rsidR="001A4229" w:rsidRPr="00735951" w:rsidRDefault="001A4229" w:rsidP="00F07C41">
            <w:pPr>
              <w:widowControl w:val="0"/>
              <w:autoSpaceDE w:val="0"/>
              <w:autoSpaceDN w:val="0"/>
              <w:adjustRightInd w:val="0"/>
              <w:jc w:val="center"/>
              <w:rPr>
                <w:bCs/>
                <w:sz w:val="22"/>
                <w:szCs w:val="22"/>
              </w:rPr>
            </w:pPr>
            <w:r w:rsidRPr="00735951">
              <w:rPr>
                <w:bCs/>
                <w:sz w:val="22"/>
                <w:szCs w:val="22"/>
              </w:rPr>
              <w:t>План</w:t>
            </w:r>
          </w:p>
        </w:tc>
        <w:tc>
          <w:tcPr>
            <w:tcW w:w="1417" w:type="dxa"/>
            <w:noWrap/>
          </w:tcPr>
          <w:p w:rsidR="001A4229" w:rsidRPr="00735951" w:rsidRDefault="001A4229" w:rsidP="00F07C41">
            <w:pPr>
              <w:widowControl w:val="0"/>
              <w:autoSpaceDE w:val="0"/>
              <w:autoSpaceDN w:val="0"/>
              <w:adjustRightInd w:val="0"/>
              <w:jc w:val="center"/>
              <w:rPr>
                <w:bCs/>
                <w:sz w:val="22"/>
                <w:szCs w:val="22"/>
              </w:rPr>
            </w:pPr>
            <w:r w:rsidRPr="00735951">
              <w:rPr>
                <w:bCs/>
                <w:sz w:val="22"/>
                <w:szCs w:val="22"/>
              </w:rPr>
              <w:t>Исполнение</w:t>
            </w:r>
          </w:p>
        </w:tc>
        <w:tc>
          <w:tcPr>
            <w:tcW w:w="1321" w:type="dxa"/>
            <w:noWrap/>
          </w:tcPr>
          <w:p w:rsidR="001A4229" w:rsidRPr="00735951" w:rsidRDefault="001A4229" w:rsidP="00F07C41">
            <w:pPr>
              <w:widowControl w:val="0"/>
              <w:autoSpaceDE w:val="0"/>
              <w:autoSpaceDN w:val="0"/>
              <w:adjustRightInd w:val="0"/>
              <w:jc w:val="center"/>
              <w:rPr>
                <w:bCs/>
                <w:sz w:val="22"/>
                <w:szCs w:val="22"/>
              </w:rPr>
            </w:pPr>
            <w:r w:rsidRPr="00735951">
              <w:rPr>
                <w:bCs/>
                <w:sz w:val="22"/>
                <w:szCs w:val="22"/>
              </w:rPr>
              <w:t>Уровень исполнения</w:t>
            </w:r>
          </w:p>
        </w:tc>
        <w:tc>
          <w:tcPr>
            <w:tcW w:w="1231" w:type="dxa"/>
            <w:noWrap/>
          </w:tcPr>
          <w:p w:rsidR="001A4229" w:rsidRPr="00735951" w:rsidRDefault="001A4229" w:rsidP="00F07C41">
            <w:pPr>
              <w:widowControl w:val="0"/>
              <w:autoSpaceDE w:val="0"/>
              <w:autoSpaceDN w:val="0"/>
              <w:adjustRightInd w:val="0"/>
              <w:jc w:val="center"/>
              <w:rPr>
                <w:bCs/>
                <w:sz w:val="22"/>
                <w:szCs w:val="22"/>
              </w:rPr>
            </w:pPr>
            <w:r w:rsidRPr="00735951">
              <w:rPr>
                <w:bCs/>
                <w:sz w:val="22"/>
                <w:szCs w:val="22"/>
              </w:rPr>
              <w:t>Не исполнено</w:t>
            </w:r>
          </w:p>
        </w:tc>
      </w:tr>
      <w:tr w:rsidR="001A4229" w:rsidRPr="00735951" w:rsidTr="00B3726F">
        <w:trPr>
          <w:trHeight w:val="1267"/>
        </w:trPr>
        <w:tc>
          <w:tcPr>
            <w:tcW w:w="4503" w:type="dxa"/>
            <w:hideMark/>
          </w:tcPr>
          <w:p w:rsidR="001A4229" w:rsidRPr="00735951" w:rsidRDefault="001A4229" w:rsidP="00F07C41">
            <w:pPr>
              <w:widowControl w:val="0"/>
              <w:autoSpaceDE w:val="0"/>
              <w:autoSpaceDN w:val="0"/>
              <w:adjustRightInd w:val="0"/>
              <w:rPr>
                <w:b/>
                <w:bCs/>
                <w:sz w:val="22"/>
                <w:szCs w:val="22"/>
              </w:rPr>
            </w:pPr>
            <w:r w:rsidRPr="00735951">
              <w:rPr>
                <w:b/>
                <w:bCs/>
                <w:sz w:val="22"/>
                <w:szCs w:val="22"/>
              </w:rPr>
              <w:t xml:space="preserve">«Модернизация жилищно–коммунального комплекса, энергосбережение и повышение энергетической эффективности в Амурской области на 2014–2020 годы», </w:t>
            </w:r>
            <w:r w:rsidRPr="00735951">
              <w:rPr>
                <w:bCs/>
                <w:sz w:val="22"/>
                <w:szCs w:val="22"/>
              </w:rPr>
              <w:t>в том числе:</w:t>
            </w:r>
          </w:p>
        </w:tc>
        <w:tc>
          <w:tcPr>
            <w:tcW w:w="1088" w:type="dxa"/>
            <w:noWrap/>
            <w:hideMark/>
          </w:tcPr>
          <w:p w:rsidR="001A4229" w:rsidRPr="00735951" w:rsidRDefault="001A4229" w:rsidP="00F07C41">
            <w:pPr>
              <w:widowControl w:val="0"/>
              <w:autoSpaceDE w:val="0"/>
              <w:autoSpaceDN w:val="0"/>
              <w:adjustRightInd w:val="0"/>
              <w:jc w:val="right"/>
              <w:rPr>
                <w:b/>
                <w:bCs/>
                <w:sz w:val="22"/>
                <w:szCs w:val="22"/>
              </w:rPr>
            </w:pPr>
            <w:r w:rsidRPr="00735951">
              <w:rPr>
                <w:b/>
                <w:bCs/>
                <w:sz w:val="22"/>
                <w:szCs w:val="22"/>
              </w:rPr>
              <w:t>3636027,3</w:t>
            </w:r>
          </w:p>
        </w:tc>
        <w:tc>
          <w:tcPr>
            <w:tcW w:w="1417" w:type="dxa"/>
            <w:noWrap/>
            <w:hideMark/>
          </w:tcPr>
          <w:p w:rsidR="001A4229" w:rsidRPr="00735951" w:rsidRDefault="001A4229" w:rsidP="00F07C41">
            <w:pPr>
              <w:widowControl w:val="0"/>
              <w:autoSpaceDE w:val="0"/>
              <w:autoSpaceDN w:val="0"/>
              <w:adjustRightInd w:val="0"/>
              <w:jc w:val="right"/>
              <w:rPr>
                <w:b/>
                <w:bCs/>
                <w:sz w:val="22"/>
                <w:szCs w:val="22"/>
              </w:rPr>
            </w:pPr>
            <w:r>
              <w:rPr>
                <w:b/>
                <w:bCs/>
                <w:sz w:val="22"/>
                <w:szCs w:val="22"/>
              </w:rPr>
              <w:t>3333706,8</w:t>
            </w:r>
          </w:p>
        </w:tc>
        <w:tc>
          <w:tcPr>
            <w:tcW w:w="1321" w:type="dxa"/>
            <w:noWrap/>
            <w:hideMark/>
          </w:tcPr>
          <w:p w:rsidR="001A4229" w:rsidRPr="00735951" w:rsidRDefault="001A4229" w:rsidP="00F07C41">
            <w:pPr>
              <w:widowControl w:val="0"/>
              <w:autoSpaceDE w:val="0"/>
              <w:autoSpaceDN w:val="0"/>
              <w:adjustRightInd w:val="0"/>
              <w:jc w:val="right"/>
              <w:rPr>
                <w:b/>
                <w:bCs/>
                <w:sz w:val="22"/>
                <w:szCs w:val="22"/>
              </w:rPr>
            </w:pPr>
            <w:r w:rsidRPr="00735951">
              <w:rPr>
                <w:b/>
                <w:bCs/>
                <w:sz w:val="22"/>
                <w:szCs w:val="22"/>
              </w:rPr>
              <w:t>91,7</w:t>
            </w:r>
          </w:p>
        </w:tc>
        <w:tc>
          <w:tcPr>
            <w:tcW w:w="1231" w:type="dxa"/>
            <w:noWrap/>
            <w:hideMark/>
          </w:tcPr>
          <w:p w:rsidR="001A4229" w:rsidRPr="00735951" w:rsidRDefault="001A4229" w:rsidP="00F07C41">
            <w:pPr>
              <w:widowControl w:val="0"/>
              <w:autoSpaceDE w:val="0"/>
              <w:autoSpaceDN w:val="0"/>
              <w:adjustRightInd w:val="0"/>
              <w:jc w:val="right"/>
              <w:rPr>
                <w:b/>
                <w:bCs/>
                <w:sz w:val="22"/>
                <w:szCs w:val="22"/>
              </w:rPr>
            </w:pPr>
            <w:r>
              <w:rPr>
                <w:b/>
                <w:bCs/>
                <w:sz w:val="22"/>
                <w:szCs w:val="22"/>
              </w:rPr>
              <w:t>302320,5</w:t>
            </w:r>
          </w:p>
        </w:tc>
      </w:tr>
      <w:tr w:rsidR="001A4229" w:rsidRPr="00735951" w:rsidTr="00B3726F">
        <w:trPr>
          <w:trHeight w:val="949"/>
        </w:trPr>
        <w:tc>
          <w:tcPr>
            <w:tcW w:w="4503" w:type="dxa"/>
            <w:hideMark/>
          </w:tcPr>
          <w:p w:rsidR="001A4229" w:rsidRPr="00735951" w:rsidRDefault="001A4229" w:rsidP="00F07C41">
            <w:pPr>
              <w:widowControl w:val="0"/>
              <w:autoSpaceDE w:val="0"/>
              <w:autoSpaceDN w:val="0"/>
              <w:adjustRightInd w:val="0"/>
              <w:rPr>
                <w:sz w:val="22"/>
                <w:szCs w:val="22"/>
              </w:rPr>
            </w:pPr>
            <w:r w:rsidRPr="00735951">
              <w:rPr>
                <w:sz w:val="22"/>
                <w:szCs w:val="22"/>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088"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3553280,7</w:t>
            </w:r>
          </w:p>
        </w:tc>
        <w:tc>
          <w:tcPr>
            <w:tcW w:w="1417"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3273888,</w:t>
            </w:r>
            <w:r>
              <w:rPr>
                <w:sz w:val="22"/>
                <w:szCs w:val="22"/>
              </w:rPr>
              <w:t>5</w:t>
            </w:r>
          </w:p>
        </w:tc>
        <w:tc>
          <w:tcPr>
            <w:tcW w:w="132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92,1</w:t>
            </w:r>
          </w:p>
        </w:tc>
        <w:tc>
          <w:tcPr>
            <w:tcW w:w="1231" w:type="dxa"/>
            <w:noWrap/>
          </w:tcPr>
          <w:p w:rsidR="001A4229" w:rsidRPr="00735951" w:rsidRDefault="001A4229" w:rsidP="00F07C41">
            <w:pPr>
              <w:widowControl w:val="0"/>
              <w:autoSpaceDE w:val="0"/>
              <w:autoSpaceDN w:val="0"/>
              <w:adjustRightInd w:val="0"/>
              <w:jc w:val="right"/>
              <w:rPr>
                <w:sz w:val="22"/>
                <w:szCs w:val="22"/>
              </w:rPr>
            </w:pPr>
            <w:r>
              <w:rPr>
                <w:sz w:val="22"/>
                <w:szCs w:val="22"/>
              </w:rPr>
              <w:t>279392,2</w:t>
            </w:r>
          </w:p>
        </w:tc>
      </w:tr>
      <w:tr w:rsidR="001A4229" w:rsidRPr="00735951" w:rsidTr="00B3726F">
        <w:trPr>
          <w:trHeight w:val="824"/>
        </w:trPr>
        <w:tc>
          <w:tcPr>
            <w:tcW w:w="4503" w:type="dxa"/>
            <w:hideMark/>
          </w:tcPr>
          <w:p w:rsidR="001A4229" w:rsidRPr="00735951" w:rsidRDefault="001A4229" w:rsidP="00F07C41">
            <w:pPr>
              <w:widowControl w:val="0"/>
              <w:autoSpaceDE w:val="0"/>
              <w:autoSpaceDN w:val="0"/>
              <w:adjustRightInd w:val="0"/>
              <w:rPr>
                <w:sz w:val="22"/>
                <w:szCs w:val="22"/>
              </w:rPr>
            </w:pPr>
            <w:r w:rsidRPr="00735951">
              <w:rPr>
                <w:sz w:val="22"/>
                <w:szCs w:val="22"/>
              </w:rPr>
              <w:t>Подпрограмма «Капитальный ремонт многоквартирных домов на территории Амурской области»</w:t>
            </w:r>
          </w:p>
        </w:tc>
        <w:tc>
          <w:tcPr>
            <w:tcW w:w="1088"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21587,3</w:t>
            </w:r>
          </w:p>
        </w:tc>
        <w:tc>
          <w:tcPr>
            <w:tcW w:w="1417"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0,9</w:t>
            </w:r>
          </w:p>
        </w:tc>
        <w:tc>
          <w:tcPr>
            <w:tcW w:w="132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0</w:t>
            </w:r>
          </w:p>
        </w:tc>
        <w:tc>
          <w:tcPr>
            <w:tcW w:w="123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21586,4</w:t>
            </w:r>
          </w:p>
        </w:tc>
      </w:tr>
      <w:tr w:rsidR="001A4229" w:rsidRPr="00735951" w:rsidTr="00B3726F">
        <w:trPr>
          <w:trHeight w:val="665"/>
        </w:trPr>
        <w:tc>
          <w:tcPr>
            <w:tcW w:w="4503" w:type="dxa"/>
            <w:hideMark/>
          </w:tcPr>
          <w:p w:rsidR="001A4229" w:rsidRPr="00735951" w:rsidRDefault="001A4229" w:rsidP="00F07C41">
            <w:pPr>
              <w:widowControl w:val="0"/>
              <w:autoSpaceDE w:val="0"/>
              <w:autoSpaceDN w:val="0"/>
              <w:adjustRightInd w:val="0"/>
              <w:rPr>
                <w:sz w:val="22"/>
                <w:szCs w:val="22"/>
              </w:rPr>
            </w:pPr>
            <w:r w:rsidRPr="00735951">
              <w:rPr>
                <w:sz w:val="22"/>
                <w:szCs w:val="22"/>
              </w:rPr>
              <w:t>Подпрограмма «Энергосбережение и повышение энергетической эффективности в Амурской области на 2014 - 2020 годы»</w:t>
            </w:r>
          </w:p>
        </w:tc>
        <w:tc>
          <w:tcPr>
            <w:tcW w:w="1088"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936,9</w:t>
            </w:r>
          </w:p>
        </w:tc>
        <w:tc>
          <w:tcPr>
            <w:tcW w:w="1417"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936,9</w:t>
            </w:r>
          </w:p>
        </w:tc>
        <w:tc>
          <w:tcPr>
            <w:tcW w:w="132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100,0</w:t>
            </w:r>
          </w:p>
        </w:tc>
        <w:tc>
          <w:tcPr>
            <w:tcW w:w="123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0,0</w:t>
            </w:r>
          </w:p>
        </w:tc>
      </w:tr>
      <w:tr w:rsidR="001A4229" w:rsidRPr="00735951" w:rsidTr="00B3726F">
        <w:trPr>
          <w:trHeight w:val="1092"/>
        </w:trPr>
        <w:tc>
          <w:tcPr>
            <w:tcW w:w="4503" w:type="dxa"/>
            <w:hideMark/>
          </w:tcPr>
          <w:p w:rsidR="001A4229" w:rsidRPr="00735951" w:rsidRDefault="001A4229" w:rsidP="00F07C41">
            <w:pPr>
              <w:widowControl w:val="0"/>
              <w:autoSpaceDE w:val="0"/>
              <w:autoSpaceDN w:val="0"/>
              <w:adjustRightInd w:val="0"/>
              <w:rPr>
                <w:sz w:val="22"/>
                <w:szCs w:val="22"/>
              </w:rPr>
            </w:pPr>
            <w:r w:rsidRPr="00735951">
              <w:rPr>
                <w:sz w:val="22"/>
                <w:szCs w:val="22"/>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088"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60222,4</w:t>
            </w:r>
          </w:p>
        </w:tc>
        <w:tc>
          <w:tcPr>
            <w:tcW w:w="1417"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58880,5</w:t>
            </w:r>
          </w:p>
        </w:tc>
        <w:tc>
          <w:tcPr>
            <w:tcW w:w="132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97,8</w:t>
            </w:r>
          </w:p>
        </w:tc>
        <w:tc>
          <w:tcPr>
            <w:tcW w:w="1231" w:type="dxa"/>
            <w:noWrap/>
          </w:tcPr>
          <w:p w:rsidR="001A4229" w:rsidRPr="00735951" w:rsidRDefault="001A4229" w:rsidP="00F07C41">
            <w:pPr>
              <w:widowControl w:val="0"/>
              <w:autoSpaceDE w:val="0"/>
              <w:autoSpaceDN w:val="0"/>
              <w:adjustRightInd w:val="0"/>
              <w:jc w:val="right"/>
              <w:rPr>
                <w:sz w:val="22"/>
                <w:szCs w:val="22"/>
              </w:rPr>
            </w:pPr>
            <w:r w:rsidRPr="00735951">
              <w:rPr>
                <w:sz w:val="22"/>
                <w:szCs w:val="22"/>
              </w:rPr>
              <w:t>1341,9</w:t>
            </w:r>
          </w:p>
        </w:tc>
      </w:tr>
    </w:tbl>
    <w:p w:rsidR="001A4229" w:rsidRPr="00735951" w:rsidRDefault="001A4229" w:rsidP="001A4229">
      <w:pPr>
        <w:pStyle w:val="afa"/>
        <w:numPr>
          <w:ilvl w:val="0"/>
          <w:numId w:val="6"/>
        </w:numPr>
        <w:ind w:left="644"/>
        <w:rPr>
          <w:i/>
          <w:sz w:val="24"/>
          <w:szCs w:val="24"/>
        </w:rPr>
      </w:pPr>
      <w:r w:rsidRPr="00735951">
        <w:rPr>
          <w:i/>
          <w:sz w:val="24"/>
          <w:szCs w:val="24"/>
        </w:rPr>
        <w:lastRenderedPageBreak/>
        <w:t>Подпрограмма «Обеспечение доступности коммунальных услуг, повышение качества и надежности жилищно–коммунального обслуживания населения»</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Бюджетные ассигнования по подпрограмме «Обеспечение доступности коммунальных услуг, повышение качества и надежности жилищно–коммунального обслуживания населения» утверждены в расходах областного бюджета в сумме </w:t>
      </w:r>
      <w:r w:rsidRPr="00B3726F">
        <w:rPr>
          <w:rFonts w:ascii="Times New Roman" w:hAnsi="Times New Roman" w:cs="Times New Roman"/>
          <w:sz w:val="24"/>
          <w:szCs w:val="24"/>
        </w:rPr>
        <w:br/>
        <w:t>3553280,7 тыс. рублей. В общем объеме расходов государственной программы доля расходов по данной подпрограмме составляет 97,7 процента.</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92,1 процента (объем неисполненных ассигнований составил </w:t>
      </w:r>
      <w:r w:rsidRPr="00B3726F">
        <w:rPr>
          <w:rFonts w:ascii="Times New Roman" w:hAnsi="Times New Roman" w:cs="Times New Roman"/>
          <w:sz w:val="24"/>
          <w:szCs w:val="24"/>
        </w:rPr>
        <w:br/>
        <w:t>279392,2 тыс. рублей).</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По данной подпрограмме в полном объеме исполнены ассигнования, предусмотренные на реализацию следующих программных мероприятий:</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возмещение юридическим лицам (индивидуальным предпринимателям), осуществляющим производство электрической энергии посредством работы дизельной электростанции недополученных доходов, возникающих в результате поставки электрической энергии (мощности) по регулируемым ценам (тарифам) населению и приравненных к нему категориям потребителей с объемом ассигнований 42936,9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101,0 процент;</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возмещение теплоснабжающим организациям части затрат, возникших в связи с оказанием коммунальных услуг, по расходам на топливо и электрическую энергию, превышающим учтенные уполномоченным исполнительным органом государственной власти области, осуществляющим функции в сфере государственного регулирования цен и тарифов на продукцию (товары, услуги), при установлении экономически обоснованных тарифов на тепловую энергию с объемом ассигнований 702240,0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101,5 процента;</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возмещение теплоснабжающим организациям части затрат, возникших в связи с оказанием коммунальных услуг, в части разницы между величиной, сложившейся исходя из расчетного объема полезного отпуска тепловой энергии на установленный экономически обоснованный тариф на тепловую энергию (за исключением расходов на топливо и электрическую энергию), и величиной, сложившейся исходя из фактического объема тепловой энергии на установленный экономически обоснованный тариф на тепловую энергию (за исключением расходов на топливо и электрическую энергию) с объемом ассигнований 647239,2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100,0 процентов;</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возмещение юридическим лицам части затрат, связанных с предоставлением коммунальных услуг на территории районов Крайнего Севера и приравненных к ним местностей с объемом ассигнований 451053,5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108,0 процентов</w:t>
      </w:r>
      <w:r w:rsidR="00B3726F">
        <w:rPr>
          <w:rFonts w:ascii="Times New Roman" w:hAnsi="Times New Roman" w:cs="Times New Roman"/>
          <w:sz w:val="24"/>
          <w:szCs w:val="24"/>
        </w:rPr>
        <w:t>;</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 возмещение части затрат, возникших в связи с оказанием коммунальных услуг, повлекших образование дебиторской задолженности населения либо дебиторской задолженности исполнителей коммунальных услуг, сложившейся в результате </w:t>
      </w:r>
      <w:r w:rsidRPr="00B3726F">
        <w:rPr>
          <w:rFonts w:ascii="Times New Roman" w:hAnsi="Times New Roman" w:cs="Times New Roman"/>
          <w:sz w:val="24"/>
          <w:szCs w:val="24"/>
        </w:rPr>
        <w:lastRenderedPageBreak/>
        <w:t>возникновения задолженности населения за предоставленные коммунальные услуги по теплоснабжению, признанной в установленном порядке невозможной к взысканию, право требования по которой передано исполнителем коммунальных услуг теплоснабжающей организации с объемом ассигнований 38687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100,0 процентов</w:t>
      </w:r>
      <w:r w:rsidR="00B3726F">
        <w:rPr>
          <w:rFonts w:ascii="Times New Roman" w:hAnsi="Times New Roman" w:cs="Times New Roman"/>
          <w:sz w:val="24"/>
          <w:szCs w:val="24"/>
        </w:rPr>
        <w:t>;</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возмещение юридическим лицам части затрат, связанных с предоставлением коммунальных услуг на территории опережающего социально-экономического развития с объемом ассигнований 80000,0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125,0 процентов</w:t>
      </w:r>
      <w:r w:rsidR="00B3726F">
        <w:rPr>
          <w:rFonts w:ascii="Times New Roman" w:hAnsi="Times New Roman" w:cs="Times New Roman"/>
          <w:sz w:val="24"/>
          <w:szCs w:val="24"/>
        </w:rPr>
        <w:t>;</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реализация приоритетного проекта «Формирование комфортной городской среды» с объемом ассигнований 200909,5 тыс. рублей.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100,0 процентов.</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Неисполнение плановых показателей наблюдается по расходам на финансовое обеспечение государственных полномочий по компенсации выпадающих доходов теплоснабжающих организаций, возникающих в результате установления льготных тарифов для населения Амурской области – 68642,5 тыс. рублей, или 93,4 процента. </w:t>
      </w:r>
      <w:r w:rsidR="00051B16">
        <w:rPr>
          <w:rFonts w:ascii="Times New Roman" w:hAnsi="Times New Roman" w:cs="Times New Roman"/>
          <w:sz w:val="24"/>
          <w:szCs w:val="24"/>
        </w:rPr>
        <w:t>С</w:t>
      </w:r>
      <w:r w:rsidRPr="00B3726F">
        <w:rPr>
          <w:rFonts w:ascii="Times New Roman" w:hAnsi="Times New Roman" w:cs="Times New Roman"/>
          <w:sz w:val="24"/>
          <w:szCs w:val="24"/>
        </w:rPr>
        <w:t xml:space="preserve">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w:t>
      </w:r>
      <w:proofErr w:type="gramStart"/>
      <w:r w:rsidRPr="00B3726F">
        <w:rPr>
          <w:rFonts w:ascii="Times New Roman" w:hAnsi="Times New Roman" w:cs="Times New Roman"/>
          <w:sz w:val="24"/>
          <w:szCs w:val="24"/>
        </w:rPr>
        <w:t>результативности</w:t>
      </w:r>
      <w:proofErr w:type="gramEnd"/>
      <w:r w:rsidRPr="00B3726F">
        <w:rPr>
          <w:rFonts w:ascii="Times New Roman" w:hAnsi="Times New Roman" w:cs="Times New Roman"/>
          <w:sz w:val="24"/>
          <w:szCs w:val="24"/>
        </w:rPr>
        <w:t xml:space="preserve"> по мероприятию достигнут на уровне 101,0 процент. Непосредственным результатом реализации данного мероприятия, согласно государственной программе, должно стать ограничение роста платы граждан за коммунальные услуги.</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Отсутствует исполнение по расходам на обеспечение мероприятий по модернизации систем коммунальной инфраструктуры. Объем ассигнований на данное мероприятие составляет 210000,0 тыс. рублей. При этом 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плановый показатель критерия эффективности и результативности по мероприятию достигнут на уровне 100,0 процентов.</w:t>
      </w:r>
    </w:p>
    <w:p w:rsidR="001A4229" w:rsidRPr="00B3726F" w:rsidRDefault="001A4229" w:rsidP="00B3726F">
      <w:pPr>
        <w:spacing w:after="0" w:line="240" w:lineRule="auto"/>
        <w:ind w:firstLine="709"/>
        <w:jc w:val="both"/>
        <w:rPr>
          <w:rFonts w:ascii="Times New Roman" w:hAnsi="Times New Roman" w:cs="Times New Roman"/>
          <w:b/>
          <w:i/>
          <w:sz w:val="24"/>
          <w:szCs w:val="24"/>
        </w:rPr>
      </w:pPr>
      <w:r w:rsidRPr="00B3726F">
        <w:rPr>
          <w:rFonts w:ascii="Times New Roman" w:hAnsi="Times New Roman" w:cs="Times New Roman"/>
          <w:b/>
          <w:i/>
          <w:sz w:val="24"/>
          <w:szCs w:val="24"/>
        </w:rPr>
        <w:t>Контрольно-счетная палата области обращает внимание на несоответствие по мероприятию модернизация систем коммунальной инфраструктуры информации, представленной в текстовой части сводного годового доклада о ходе реализации и об оценке эффективности государственных программ области и данных, представленных в приложениях к сводному докладу:</w:t>
      </w:r>
    </w:p>
    <w:p w:rsidR="001A4229"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в приложении № 1 «Информация о финансировании государственных программ Амурской области за январь-декабрь 2017 года (по состоянию на 01.01.2018)» к сводному годовому докладу по данному мероприятию представлена информация об отсутствии финансирования за отчетный период, что соответствует отчету об исполнении областного бюджета за 2017 год. При этом в текстовой части сводного доклада в рамках данного мероприятия представлена информация о том, что за счет средств государственной корпорации «Фонд содействия реформированию жилищно-коммунального хозяйства» финансирование составило 151,5 млн. рублей.</w:t>
      </w:r>
    </w:p>
    <w:p w:rsidR="00B3726F" w:rsidRDefault="00B3726F" w:rsidP="00B3726F">
      <w:pPr>
        <w:spacing w:after="0" w:line="240" w:lineRule="auto"/>
        <w:ind w:firstLine="709"/>
        <w:jc w:val="both"/>
        <w:rPr>
          <w:rFonts w:ascii="Times New Roman" w:hAnsi="Times New Roman" w:cs="Times New Roman"/>
          <w:sz w:val="24"/>
          <w:szCs w:val="24"/>
        </w:rPr>
      </w:pPr>
    </w:p>
    <w:p w:rsidR="00B3726F" w:rsidRPr="00B3726F" w:rsidRDefault="00B3726F" w:rsidP="00B3726F">
      <w:pPr>
        <w:spacing w:after="0" w:line="240" w:lineRule="auto"/>
        <w:ind w:firstLine="709"/>
        <w:jc w:val="both"/>
        <w:rPr>
          <w:rFonts w:ascii="Times New Roman" w:hAnsi="Times New Roman" w:cs="Times New Roman"/>
          <w:sz w:val="24"/>
          <w:szCs w:val="24"/>
        </w:rPr>
      </w:pPr>
    </w:p>
    <w:p w:rsidR="001A4229" w:rsidRPr="00B3726F" w:rsidRDefault="001A4229" w:rsidP="00B3726F">
      <w:pPr>
        <w:pStyle w:val="afa"/>
        <w:numPr>
          <w:ilvl w:val="0"/>
          <w:numId w:val="6"/>
        </w:numPr>
        <w:ind w:left="0" w:firstLine="709"/>
        <w:jc w:val="both"/>
        <w:rPr>
          <w:i/>
          <w:sz w:val="24"/>
          <w:szCs w:val="24"/>
        </w:rPr>
      </w:pPr>
      <w:r w:rsidRPr="00B3726F">
        <w:rPr>
          <w:i/>
          <w:sz w:val="24"/>
          <w:szCs w:val="24"/>
        </w:rPr>
        <w:lastRenderedPageBreak/>
        <w:t>Подпрограмма «Капитальный ремонт многоквартирных домов на территории Амурской области»</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Бюджетные ассигнования по подпрограмме «Капитальный ремонт многоквартирных домов на территории Амурской области» утверждены в расходах областного бюджета в сумме 21587,3 тыс. рублей, в том числе:</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 на предоставление имущественного взноса Амурской области некоммерческой организации «Фонд капитального ремонта многоквартирных домов Амурской области» в областном бюджете предусмотрено 21587,3 тыс. рублей. Исполнение по данному мероприятию отсутствует. </w:t>
      </w:r>
    </w:p>
    <w:p w:rsidR="001A4229" w:rsidRPr="00B3726F" w:rsidRDefault="001A4229" w:rsidP="00B3726F">
      <w:pPr>
        <w:spacing w:after="0" w:line="240" w:lineRule="auto"/>
        <w:ind w:firstLine="709"/>
        <w:jc w:val="both"/>
        <w:rPr>
          <w:rFonts w:ascii="Times New Roman" w:hAnsi="Times New Roman" w:cs="Times New Roman"/>
          <w:b/>
          <w:i/>
          <w:sz w:val="24"/>
          <w:szCs w:val="24"/>
        </w:rPr>
      </w:pPr>
      <w:r w:rsidRPr="00B3726F">
        <w:rPr>
          <w:rFonts w:ascii="Times New Roman" w:hAnsi="Times New Roman" w:cs="Times New Roman"/>
          <w:b/>
          <w:i/>
          <w:sz w:val="24"/>
          <w:szCs w:val="24"/>
        </w:rPr>
        <w:t xml:space="preserve">Контрольно-счетная палата области обращает внимание на несоответствие по данному мероприятию информации, представленной в текстовой части сводного годового доклада о ходе реализации и об оценке эффективности государственных программ области и данных, представленных в приложениях к сводному </w:t>
      </w:r>
      <w:r w:rsidR="00B3726F">
        <w:rPr>
          <w:rFonts w:ascii="Times New Roman" w:hAnsi="Times New Roman" w:cs="Times New Roman"/>
          <w:b/>
          <w:i/>
          <w:sz w:val="24"/>
          <w:szCs w:val="24"/>
        </w:rPr>
        <w:t>докладу.</w:t>
      </w:r>
    </w:p>
    <w:p w:rsidR="001A4229" w:rsidRPr="00B3726F" w:rsidRDefault="00B3726F" w:rsidP="00B372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A4229" w:rsidRPr="00B3726F">
        <w:rPr>
          <w:rFonts w:ascii="Times New Roman" w:hAnsi="Times New Roman" w:cs="Times New Roman"/>
          <w:sz w:val="24"/>
          <w:szCs w:val="24"/>
        </w:rPr>
        <w:t xml:space="preserve"> приложении № 2 «Оценка достижения плановых показателей государственных программ Амурской области за январь-декабрь 2017 года (по состоянию на 01.01.2018)» к сводному годовому докладу по данному мероприятию отражен индикатор результативности - площадь отремонтированного многоквартирного жилищного фонда с плановым значением 464 тыс. кв.м и указано его фактическое достижение – 729,56 тыс. кв.м, что составляет </w:t>
      </w:r>
      <w:r w:rsidR="001A4229" w:rsidRPr="00B3726F">
        <w:rPr>
          <w:rFonts w:ascii="Times New Roman" w:hAnsi="Times New Roman" w:cs="Times New Roman"/>
          <w:sz w:val="24"/>
          <w:szCs w:val="24"/>
        </w:rPr>
        <w:br/>
        <w:t>157,0 процентов плана. При этом в текстовой части доклада о ходе реализации и об оценке эффективности государственных программ области представлены результаты реализации данного мероприятия - площадь отремонтированного многоквартирного жилищного фонда 152,6 тыс. кв. м при плановых назначениях 212 тыс. кв. м., что составляет 72,0 процента плана.</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 на финансовое обеспечение расходов по проведению капитального ремонта в связи с предоставлением отдельным категориям граждан скидки по уплате взносов на капитальный ремонт общего имущества в многоквартирных домах предусмотрено 0,9 тыс. рублей. Исполнение по данному мероприятию сложилось в сумме 0,9 тыс. рублей. </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Государственной программой по данному мероприятию установлен показатель результативности - доля граждан, получивших скидку по уплате взносов на капитальный ремонт общего имущества в многоквартирных домах, в общем количестве граждан, обратившихся за получением скидки по уплате взносов на капитальный ремонт общего имущества в многоквартирных домах.</w:t>
      </w:r>
    </w:p>
    <w:p w:rsidR="001A4229" w:rsidRPr="00B3726F" w:rsidRDefault="001A4229" w:rsidP="00B3726F">
      <w:pPr>
        <w:spacing w:after="0" w:line="240" w:lineRule="auto"/>
        <w:ind w:firstLine="709"/>
        <w:jc w:val="both"/>
        <w:rPr>
          <w:rFonts w:ascii="Times New Roman" w:hAnsi="Times New Roman" w:cs="Times New Roman"/>
          <w:b/>
          <w:i/>
          <w:sz w:val="24"/>
          <w:szCs w:val="24"/>
        </w:rPr>
      </w:pPr>
      <w:r w:rsidRPr="00B3726F">
        <w:rPr>
          <w:rFonts w:ascii="Times New Roman" w:hAnsi="Times New Roman" w:cs="Times New Roman"/>
          <w:sz w:val="24"/>
          <w:szCs w:val="24"/>
        </w:rPr>
        <w:t xml:space="preserve">Контрольно-счетная палата Амурской области отмечает, что </w:t>
      </w:r>
      <w:r w:rsidRPr="00B3726F">
        <w:rPr>
          <w:rFonts w:ascii="Times New Roman" w:hAnsi="Times New Roman" w:cs="Times New Roman"/>
          <w:b/>
          <w:i/>
          <w:sz w:val="24"/>
          <w:szCs w:val="24"/>
        </w:rPr>
        <w:t>приложение № 2 к</w:t>
      </w:r>
      <w:r w:rsidRPr="00B3726F">
        <w:rPr>
          <w:rFonts w:ascii="Times New Roman" w:hAnsi="Times New Roman" w:cs="Times New Roman"/>
          <w:sz w:val="24"/>
          <w:szCs w:val="24"/>
        </w:rPr>
        <w:t xml:space="preserve"> </w:t>
      </w:r>
      <w:r w:rsidRPr="00B3726F">
        <w:rPr>
          <w:rFonts w:ascii="Times New Roman" w:hAnsi="Times New Roman" w:cs="Times New Roman"/>
          <w:b/>
          <w:i/>
          <w:sz w:val="24"/>
          <w:szCs w:val="24"/>
        </w:rPr>
        <w:t xml:space="preserve">сводному годовому докладу о ходе реализации и об оценке эффективности государственных программ области не содержит оценки достижения показателя результативности по данному мероприятию.  </w:t>
      </w:r>
    </w:p>
    <w:p w:rsidR="001A4229" w:rsidRPr="00B3726F" w:rsidRDefault="001A4229" w:rsidP="00B3726F">
      <w:pPr>
        <w:pStyle w:val="afa"/>
        <w:numPr>
          <w:ilvl w:val="0"/>
          <w:numId w:val="6"/>
        </w:numPr>
        <w:ind w:left="0" w:firstLine="709"/>
        <w:jc w:val="both"/>
        <w:rPr>
          <w:i/>
          <w:sz w:val="24"/>
          <w:szCs w:val="24"/>
        </w:rPr>
      </w:pPr>
      <w:r w:rsidRPr="00B3726F">
        <w:rPr>
          <w:i/>
          <w:sz w:val="24"/>
          <w:szCs w:val="24"/>
        </w:rPr>
        <w:t>Подпрограмма «Энергосбережение и повышение энергетической эффективности в Амурской области на 2014-2020 годы»</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Бюджетные ассигнования по подпрограмме «Энергосбережение и повышение энергетической эффективности в Амурской области на 2014-2020 годы» утверждены в расходах областного бюджета в сумме 936,9 тыс. рублей.</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В рамках данной подпрограммы на 2017 год предусмотрено финансирование программного мероприятия «технические и технологические мероприятия энергосбережения». Одним из результатов, направленных на решение задач, предусмотренных данным мероприятием, является стопроцентное оснащение приборами учета бюджетных учреждений области.</w:t>
      </w:r>
      <w:r w:rsidR="00711086">
        <w:rPr>
          <w:rFonts w:ascii="Times New Roman" w:hAnsi="Times New Roman" w:cs="Times New Roman"/>
          <w:sz w:val="24"/>
          <w:szCs w:val="24"/>
        </w:rPr>
        <w:t xml:space="preserve"> </w:t>
      </w:r>
      <w:r w:rsidRPr="00B3726F">
        <w:rPr>
          <w:rFonts w:ascii="Times New Roman" w:hAnsi="Times New Roman" w:cs="Times New Roman"/>
          <w:sz w:val="24"/>
          <w:szCs w:val="24"/>
        </w:rPr>
        <w:t>В рамках данного мероприятия в 2017 году из областного бюджета осуществлялось финансирование учреждений здравоохранения области. Уровень исполнения плановых назначений составил 100,0 процентов.</w:t>
      </w:r>
    </w:p>
    <w:p w:rsidR="001A4229"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достижение поставленной на 2017 год задачи выполнено на уровне 93,0 процента.</w:t>
      </w:r>
    </w:p>
    <w:p w:rsidR="00711086" w:rsidRPr="00B3726F" w:rsidRDefault="00711086" w:rsidP="00B3726F">
      <w:pPr>
        <w:spacing w:after="0" w:line="240" w:lineRule="auto"/>
        <w:ind w:firstLine="709"/>
        <w:jc w:val="both"/>
        <w:rPr>
          <w:rFonts w:ascii="Times New Roman" w:hAnsi="Times New Roman" w:cs="Times New Roman"/>
          <w:sz w:val="24"/>
          <w:szCs w:val="24"/>
        </w:rPr>
      </w:pPr>
    </w:p>
    <w:p w:rsidR="001A4229" w:rsidRPr="00B3726F" w:rsidRDefault="001A4229" w:rsidP="00B3726F">
      <w:pPr>
        <w:pStyle w:val="afa"/>
        <w:numPr>
          <w:ilvl w:val="0"/>
          <w:numId w:val="6"/>
        </w:numPr>
        <w:ind w:left="0" w:firstLine="709"/>
        <w:jc w:val="both"/>
        <w:rPr>
          <w:i/>
          <w:sz w:val="24"/>
          <w:szCs w:val="24"/>
        </w:rPr>
      </w:pPr>
      <w:r w:rsidRPr="00B3726F">
        <w:rPr>
          <w:i/>
          <w:sz w:val="24"/>
          <w:szCs w:val="24"/>
        </w:rPr>
        <w:lastRenderedPageBreak/>
        <w:t>Подпрограмма «Обеспечение реализации основных направлений государственной политики в сфере реализации государственной программы»</w:t>
      </w:r>
    </w:p>
    <w:p w:rsidR="001A4229" w:rsidRPr="00B3726F" w:rsidRDefault="001A4229" w:rsidP="00B3726F">
      <w:pPr>
        <w:spacing w:after="0" w:line="240" w:lineRule="auto"/>
        <w:ind w:firstLine="709"/>
        <w:jc w:val="both"/>
        <w:rPr>
          <w:rFonts w:ascii="Times New Roman" w:hAnsi="Times New Roman" w:cs="Times New Roman"/>
          <w:color w:val="4F81BD" w:themeColor="accent1"/>
          <w:sz w:val="24"/>
          <w:szCs w:val="24"/>
        </w:rPr>
      </w:pPr>
      <w:r w:rsidRPr="00B3726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в сумме 60222,4 тыс. рублей. </w:t>
      </w:r>
    </w:p>
    <w:p w:rsidR="00711086"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1,7 процента.</w:t>
      </w:r>
      <w:r w:rsidR="00711086">
        <w:rPr>
          <w:rFonts w:ascii="Times New Roman" w:hAnsi="Times New Roman" w:cs="Times New Roman"/>
          <w:sz w:val="24"/>
          <w:szCs w:val="24"/>
        </w:rPr>
        <w:t xml:space="preserve"> </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97,8 процента (объем неисполненных ассигнований составил </w:t>
      </w:r>
      <w:r w:rsidR="00711086">
        <w:rPr>
          <w:rFonts w:ascii="Times New Roman" w:hAnsi="Times New Roman" w:cs="Times New Roman"/>
          <w:sz w:val="24"/>
          <w:szCs w:val="24"/>
        </w:rPr>
        <w:br/>
      </w:r>
      <w:r w:rsidRPr="00B3726F">
        <w:rPr>
          <w:rFonts w:ascii="Times New Roman" w:hAnsi="Times New Roman" w:cs="Times New Roman"/>
          <w:sz w:val="24"/>
          <w:szCs w:val="24"/>
        </w:rPr>
        <w:t>1341,9 тыс. рублей).</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Основным мероприятием в рамках подпрограммы являются расходы на обеспечение функций исполнительных органов государственной власти, которые включают в себя расходы на выплаты персоналу в целях обеспечения выполнения функций государственными органами, на закупку товаров, работ и услуг для обеспечения государственных (муниципальных) нужд, иные бюджетные ассигнования.</w:t>
      </w:r>
    </w:p>
    <w:p w:rsidR="001A4229" w:rsidRPr="00B3726F" w:rsidRDefault="001A4229" w:rsidP="00B3726F">
      <w:pPr>
        <w:spacing w:after="0" w:line="240" w:lineRule="auto"/>
        <w:ind w:firstLine="709"/>
        <w:jc w:val="both"/>
        <w:rPr>
          <w:rFonts w:ascii="Times New Roman" w:hAnsi="Times New Roman" w:cs="Times New Roman"/>
          <w:sz w:val="24"/>
          <w:szCs w:val="24"/>
        </w:rPr>
      </w:pPr>
      <w:r w:rsidRPr="00B3726F">
        <w:rPr>
          <w:rFonts w:ascii="Times New Roman" w:hAnsi="Times New Roman" w:cs="Times New Roman"/>
          <w:sz w:val="24"/>
          <w:szCs w:val="24"/>
        </w:rPr>
        <w:t>Структура расходов государственной программы «Модернизация жилищно–коммунального комплекса, энергосбережение и повышение энергетической эффективности в Амурской области на 2014–2020 годы» по основным направлениям деятельности представлена на рисунке</w:t>
      </w:r>
      <w:r w:rsidR="00B3726F">
        <w:rPr>
          <w:rFonts w:ascii="Times New Roman" w:hAnsi="Times New Roman" w:cs="Times New Roman"/>
          <w:sz w:val="24"/>
          <w:szCs w:val="24"/>
        </w:rPr>
        <w:t xml:space="preserve"> 25.</w:t>
      </w:r>
    </w:p>
    <w:p w:rsidR="001A4229" w:rsidRDefault="001A4229" w:rsidP="001A4229">
      <w:pPr>
        <w:keepNext/>
        <w:spacing w:after="120"/>
        <w:jc w:val="both"/>
      </w:pPr>
      <w:r>
        <w:rPr>
          <w:rFonts w:ascii="Times New Roman" w:hAnsi="Times New Roman" w:cs="Times New Roman"/>
          <w:noProof/>
          <w:color w:val="000000" w:themeColor="text1"/>
          <w:sz w:val="24"/>
          <w:szCs w:val="24"/>
          <w:lang w:eastAsia="ru-RU"/>
        </w:rPr>
        <w:drawing>
          <wp:inline distT="0" distB="0" distL="0" distR="0" wp14:anchorId="687388C6" wp14:editId="3352F9AF">
            <wp:extent cx="6074797" cy="310896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A4229" w:rsidRDefault="001A4229" w:rsidP="00B3726F">
      <w:pPr>
        <w:spacing w:after="0"/>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Рис.</w:t>
      </w:r>
      <w:r w:rsidRPr="00A772F6">
        <w:t xml:space="preserve"> </w:t>
      </w:r>
      <w:r w:rsidR="00B3726F" w:rsidRPr="00B3726F">
        <w:rPr>
          <w:rFonts w:ascii="Times New Roman" w:hAnsi="Times New Roman" w:cs="Times New Roman"/>
          <w:b/>
          <w:sz w:val="24"/>
          <w:szCs w:val="24"/>
        </w:rPr>
        <w:t>25</w:t>
      </w:r>
      <w:r w:rsidR="00B3726F">
        <w:rPr>
          <w:rFonts w:ascii="Times New Roman" w:hAnsi="Times New Roman" w:cs="Times New Roman"/>
          <w:b/>
          <w:sz w:val="24"/>
          <w:szCs w:val="24"/>
        </w:rPr>
        <w:t xml:space="preserve"> -</w:t>
      </w:r>
      <w:r>
        <w:t xml:space="preserve"> </w:t>
      </w:r>
      <w:r w:rsidRPr="00A772F6">
        <w:rPr>
          <w:rFonts w:ascii="Times New Roman" w:hAnsi="Times New Roman" w:cs="Times New Roman"/>
          <w:b/>
          <w:color w:val="000000" w:themeColor="text1"/>
          <w:sz w:val="24"/>
          <w:szCs w:val="24"/>
        </w:rPr>
        <w:t>Основные направления расходов областного бюджета по государственной программе «Модернизация жилищно–коммунального комплекса, энергосбережение и повышение энергетической эффективности в Амурской области на 2014–2020 годы»</w:t>
      </w:r>
      <w:r>
        <w:rPr>
          <w:rFonts w:ascii="Times New Roman" w:hAnsi="Times New Roman" w:cs="Times New Roman"/>
          <w:b/>
          <w:color w:val="000000" w:themeColor="text1"/>
          <w:sz w:val="24"/>
          <w:szCs w:val="24"/>
        </w:rPr>
        <w:t>, млн. рублей</w:t>
      </w:r>
    </w:p>
    <w:p w:rsidR="001A4229" w:rsidRPr="00245186" w:rsidRDefault="001A4229" w:rsidP="00711086">
      <w:pPr>
        <w:spacing w:after="0" w:line="240" w:lineRule="auto"/>
        <w:ind w:firstLine="709"/>
        <w:jc w:val="both"/>
        <w:rPr>
          <w:rFonts w:ascii="Times New Roman" w:eastAsia="Times New Roman" w:hAnsi="Times New Roman" w:cs="Times New Roman"/>
          <w:sz w:val="24"/>
          <w:szCs w:val="24"/>
          <w:lang w:eastAsia="ru-RU"/>
        </w:rPr>
      </w:pPr>
      <w:r w:rsidRPr="00245186">
        <w:rPr>
          <w:rFonts w:ascii="Times New Roman" w:eastAsia="Times New Roman" w:hAnsi="Times New Roman" w:cs="Times New Roman"/>
          <w:sz w:val="24"/>
          <w:szCs w:val="24"/>
          <w:lang w:eastAsia="ru-RU"/>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государственная программа «Модернизация жилищно–коммунального комплекса, энергосбережение и повышение энергетической эффективности в Амурской области на 2014–2020 годы» признана эффективной.</w:t>
      </w:r>
    </w:p>
    <w:p w:rsidR="001A4229" w:rsidRDefault="001A4229" w:rsidP="00711086">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По мнению контрольно-счетной палаты области применение недостоверных данных, представленных в сводном годовом докладе </w:t>
      </w:r>
      <w:r w:rsidRPr="004B311C">
        <w:rPr>
          <w:rFonts w:ascii="Times New Roman" w:hAnsi="Times New Roman" w:cs="Times New Roman"/>
          <w:b/>
          <w:i/>
          <w:sz w:val="24"/>
          <w:szCs w:val="24"/>
        </w:rPr>
        <w:t xml:space="preserve">о ходе реализации и об оценке эффективности государственных программ </w:t>
      </w:r>
      <w:r>
        <w:rPr>
          <w:rFonts w:ascii="Times New Roman" w:hAnsi="Times New Roman" w:cs="Times New Roman"/>
          <w:b/>
          <w:i/>
          <w:sz w:val="24"/>
          <w:szCs w:val="24"/>
        </w:rPr>
        <w:t>по п</w:t>
      </w:r>
      <w:r w:rsidRPr="004B311C">
        <w:rPr>
          <w:rFonts w:ascii="Times New Roman" w:hAnsi="Times New Roman" w:cs="Times New Roman"/>
          <w:b/>
          <w:i/>
          <w:sz w:val="24"/>
          <w:szCs w:val="24"/>
        </w:rPr>
        <w:t>одпрограмм</w:t>
      </w:r>
      <w:r>
        <w:rPr>
          <w:rFonts w:ascii="Times New Roman" w:hAnsi="Times New Roman" w:cs="Times New Roman"/>
          <w:b/>
          <w:i/>
          <w:sz w:val="24"/>
          <w:szCs w:val="24"/>
        </w:rPr>
        <w:t>е</w:t>
      </w:r>
      <w:r w:rsidRPr="004B311C">
        <w:rPr>
          <w:rFonts w:ascii="Times New Roman" w:hAnsi="Times New Roman" w:cs="Times New Roman"/>
          <w:b/>
          <w:i/>
          <w:sz w:val="24"/>
          <w:szCs w:val="24"/>
        </w:rPr>
        <w:t xml:space="preserve"> «Капитальный ремонт многоквартирных домов на территории Амурской области»</w:t>
      </w:r>
      <w:r>
        <w:rPr>
          <w:rFonts w:ascii="Times New Roman" w:hAnsi="Times New Roman" w:cs="Times New Roman"/>
          <w:b/>
          <w:i/>
          <w:sz w:val="24"/>
          <w:szCs w:val="24"/>
        </w:rPr>
        <w:t>,</w:t>
      </w:r>
      <w:r w:rsidRPr="009917C1">
        <w:t xml:space="preserve"> </w:t>
      </w:r>
      <w:r w:rsidRPr="009917C1">
        <w:rPr>
          <w:rFonts w:ascii="Times New Roman" w:hAnsi="Times New Roman" w:cs="Times New Roman"/>
          <w:b/>
          <w:i/>
          <w:sz w:val="24"/>
          <w:szCs w:val="24"/>
        </w:rPr>
        <w:t>мог</w:t>
      </w:r>
      <w:r>
        <w:rPr>
          <w:rFonts w:ascii="Times New Roman" w:hAnsi="Times New Roman" w:cs="Times New Roman"/>
          <w:b/>
          <w:i/>
          <w:sz w:val="24"/>
          <w:szCs w:val="24"/>
        </w:rPr>
        <w:t>ло</w:t>
      </w:r>
      <w:r w:rsidRPr="009917C1">
        <w:rPr>
          <w:rFonts w:ascii="Times New Roman" w:hAnsi="Times New Roman" w:cs="Times New Roman"/>
          <w:b/>
          <w:i/>
          <w:sz w:val="24"/>
          <w:szCs w:val="24"/>
        </w:rPr>
        <w:t xml:space="preserve"> </w:t>
      </w:r>
      <w:r>
        <w:rPr>
          <w:rFonts w:ascii="Times New Roman" w:hAnsi="Times New Roman" w:cs="Times New Roman"/>
          <w:b/>
          <w:i/>
          <w:sz w:val="24"/>
          <w:szCs w:val="24"/>
        </w:rPr>
        <w:t>повлечь</w:t>
      </w:r>
      <w:r w:rsidRPr="009917C1">
        <w:rPr>
          <w:rFonts w:ascii="Times New Roman" w:hAnsi="Times New Roman" w:cs="Times New Roman"/>
          <w:b/>
          <w:i/>
          <w:sz w:val="24"/>
          <w:szCs w:val="24"/>
        </w:rPr>
        <w:t xml:space="preserve"> </w:t>
      </w:r>
      <w:r>
        <w:rPr>
          <w:rFonts w:ascii="Times New Roman" w:hAnsi="Times New Roman" w:cs="Times New Roman"/>
          <w:b/>
          <w:i/>
          <w:sz w:val="24"/>
          <w:szCs w:val="24"/>
        </w:rPr>
        <w:t>искажение результатов</w:t>
      </w:r>
      <w:r w:rsidRPr="009917C1">
        <w:rPr>
          <w:rFonts w:ascii="Times New Roman" w:hAnsi="Times New Roman" w:cs="Times New Roman"/>
          <w:b/>
          <w:i/>
          <w:sz w:val="24"/>
          <w:szCs w:val="24"/>
        </w:rPr>
        <w:t xml:space="preserve"> </w:t>
      </w:r>
      <w:r>
        <w:rPr>
          <w:rFonts w:ascii="Times New Roman" w:hAnsi="Times New Roman" w:cs="Times New Roman"/>
          <w:b/>
          <w:i/>
          <w:sz w:val="24"/>
          <w:szCs w:val="24"/>
        </w:rPr>
        <w:t xml:space="preserve">при проведении оценки </w:t>
      </w:r>
      <w:r w:rsidRPr="009917C1">
        <w:rPr>
          <w:rFonts w:ascii="Times New Roman" w:hAnsi="Times New Roman" w:cs="Times New Roman"/>
          <w:b/>
          <w:i/>
          <w:sz w:val="24"/>
          <w:szCs w:val="24"/>
        </w:rPr>
        <w:t>эффективности реализации государственн</w:t>
      </w:r>
      <w:r>
        <w:rPr>
          <w:rFonts w:ascii="Times New Roman" w:hAnsi="Times New Roman" w:cs="Times New Roman"/>
          <w:b/>
          <w:i/>
          <w:sz w:val="24"/>
          <w:szCs w:val="24"/>
        </w:rPr>
        <w:t>ой</w:t>
      </w:r>
      <w:r w:rsidRPr="009917C1">
        <w:rPr>
          <w:rFonts w:ascii="Times New Roman" w:hAnsi="Times New Roman" w:cs="Times New Roman"/>
          <w:b/>
          <w:i/>
          <w:sz w:val="24"/>
          <w:szCs w:val="24"/>
        </w:rPr>
        <w:t xml:space="preserve"> программ</w:t>
      </w:r>
      <w:r>
        <w:rPr>
          <w:rFonts w:ascii="Times New Roman" w:hAnsi="Times New Roman" w:cs="Times New Roman"/>
          <w:b/>
          <w:i/>
          <w:sz w:val="24"/>
          <w:szCs w:val="24"/>
        </w:rPr>
        <w:t>ы в целом.</w:t>
      </w:r>
    </w:p>
    <w:p w:rsidR="00711086" w:rsidRPr="008F21DC" w:rsidRDefault="00711086" w:rsidP="00711086">
      <w:pPr>
        <w:widowControl w:val="0"/>
        <w:autoSpaceDE w:val="0"/>
        <w:autoSpaceDN w:val="0"/>
        <w:adjustRightInd w:val="0"/>
        <w:spacing w:after="0" w:line="288" w:lineRule="auto"/>
        <w:ind w:firstLine="709"/>
        <w:jc w:val="both"/>
        <w:rPr>
          <w:rFonts w:ascii="Times New Roman" w:eastAsia="Times New Roman" w:hAnsi="Times New Roman" w:cs="Times New Roman"/>
          <w:b/>
          <w:sz w:val="24"/>
          <w:szCs w:val="24"/>
          <w:lang w:eastAsia="ru-RU"/>
        </w:rPr>
      </w:pPr>
      <w:r w:rsidRPr="008F21DC">
        <w:rPr>
          <w:rFonts w:ascii="Times New Roman" w:eastAsia="Times New Roman" w:hAnsi="Times New Roman" w:cs="Times New Roman"/>
          <w:b/>
          <w:sz w:val="24"/>
          <w:szCs w:val="24"/>
          <w:lang w:eastAsia="ru-RU"/>
        </w:rPr>
        <w:lastRenderedPageBreak/>
        <w:t>5.6. Исполнение расходов областного бюджета за 201</w:t>
      </w:r>
      <w:r>
        <w:rPr>
          <w:rFonts w:ascii="Times New Roman" w:eastAsia="Times New Roman" w:hAnsi="Times New Roman" w:cs="Times New Roman"/>
          <w:b/>
          <w:sz w:val="24"/>
          <w:szCs w:val="24"/>
          <w:lang w:eastAsia="ru-RU"/>
        </w:rPr>
        <w:t>7</w:t>
      </w:r>
      <w:r w:rsidRPr="008F21DC">
        <w:rPr>
          <w:rFonts w:ascii="Times New Roman" w:eastAsia="Times New Roman" w:hAnsi="Times New Roman" w:cs="Times New Roman"/>
          <w:b/>
          <w:sz w:val="24"/>
          <w:szCs w:val="24"/>
          <w:lang w:eastAsia="ru-RU"/>
        </w:rPr>
        <w:t xml:space="preserve"> год в рамках государственной программы «Развитие здравоохранения Амурской области на </w:t>
      </w:r>
      <w:r w:rsidRPr="008F21DC">
        <w:rPr>
          <w:rFonts w:ascii="Times New Roman" w:eastAsia="Times New Roman" w:hAnsi="Times New Roman" w:cs="Times New Roman"/>
          <w:b/>
          <w:sz w:val="24"/>
          <w:szCs w:val="24"/>
          <w:lang w:eastAsia="ru-RU"/>
        </w:rPr>
        <w:br/>
        <w:t>2014-2020 годы»</w:t>
      </w:r>
    </w:p>
    <w:p w:rsidR="00711086" w:rsidRPr="008F21DC" w:rsidRDefault="00711086" w:rsidP="00711086">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8F21DC">
        <w:rPr>
          <w:rFonts w:ascii="Times New Roman" w:eastAsia="Times New Roman" w:hAnsi="Times New Roman" w:cs="Times New Roman"/>
          <w:sz w:val="24"/>
          <w:szCs w:val="24"/>
          <w:lang w:eastAsia="ru-RU"/>
        </w:rPr>
        <w:t xml:space="preserve">Государственная программа «Развитие здравоохранения Амурской области на </w:t>
      </w:r>
      <w:r w:rsidRPr="008F21DC">
        <w:rPr>
          <w:rFonts w:ascii="Times New Roman" w:eastAsia="Times New Roman" w:hAnsi="Times New Roman" w:cs="Times New Roman"/>
          <w:sz w:val="24"/>
          <w:szCs w:val="24"/>
          <w:lang w:eastAsia="ru-RU"/>
        </w:rPr>
        <w:br/>
        <w:t xml:space="preserve">2014-2020 годы» утверждена постановлением Правительства Амурской области от 03.07.2013 № 302 в составе девяти подпрограмм с объемом ассигнований на 2017 год – 7699288,0 тыс. рублей, в том числе за счет средств федерального бюджета – </w:t>
      </w:r>
      <w:r>
        <w:rPr>
          <w:rFonts w:ascii="Times New Roman" w:eastAsia="Times New Roman" w:hAnsi="Times New Roman" w:cs="Times New Roman"/>
          <w:sz w:val="24"/>
          <w:szCs w:val="24"/>
          <w:lang w:eastAsia="ru-RU"/>
        </w:rPr>
        <w:br/>
      </w:r>
      <w:r w:rsidRPr="008F21DC">
        <w:rPr>
          <w:rFonts w:ascii="Times New Roman" w:eastAsia="Times New Roman" w:hAnsi="Times New Roman" w:cs="Times New Roman"/>
          <w:sz w:val="24"/>
          <w:szCs w:val="24"/>
          <w:lang w:eastAsia="ru-RU"/>
        </w:rPr>
        <w:t xml:space="preserve">213719,9 тыс. рублей, за счет средств областного бюджета – 7485568,1 тыс. рублей. </w:t>
      </w:r>
    </w:p>
    <w:p w:rsidR="00711086" w:rsidRPr="002929B7" w:rsidRDefault="00711086" w:rsidP="00711086">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027F56">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027F56">
        <w:rPr>
          <w:rFonts w:ascii="Times New Roman" w:eastAsia="Times New Roman" w:hAnsi="Times New Roman" w:cs="Times New Roman"/>
          <w:sz w:val="24"/>
          <w:szCs w:val="24"/>
          <w:lang w:eastAsia="ru-RU"/>
        </w:rPr>
        <w:t xml:space="preserve"> Амурской области «Об областном бюджете на 2017 год и плановый период 2018 и 2019 годов»</w:t>
      </w:r>
      <w:r>
        <w:rPr>
          <w:rFonts w:ascii="Times New Roman" w:eastAsia="Times New Roman" w:hAnsi="Times New Roman" w:cs="Times New Roman"/>
          <w:sz w:val="24"/>
          <w:szCs w:val="24"/>
          <w:lang w:eastAsia="ru-RU"/>
        </w:rPr>
        <w:t xml:space="preserve"> </w:t>
      </w:r>
      <w:r w:rsidRPr="00027F56">
        <w:rPr>
          <w:rFonts w:ascii="Times New Roman" w:eastAsia="Times New Roman" w:hAnsi="Times New Roman" w:cs="Times New Roman"/>
          <w:sz w:val="24"/>
          <w:szCs w:val="24"/>
          <w:lang w:eastAsia="ru-RU"/>
        </w:rPr>
        <w:t>(ред. от 2</w:t>
      </w:r>
      <w:r>
        <w:rPr>
          <w:rFonts w:ascii="Times New Roman" w:eastAsia="Times New Roman" w:hAnsi="Times New Roman" w:cs="Times New Roman"/>
          <w:sz w:val="24"/>
          <w:szCs w:val="24"/>
          <w:lang w:eastAsia="ru-RU"/>
        </w:rPr>
        <w:t>1</w:t>
      </w:r>
      <w:r w:rsidRPr="00027F56">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 №161-ОЗ</w:t>
      </w:r>
      <w:r w:rsidRPr="00027F56">
        <w:rPr>
          <w:rFonts w:ascii="Times New Roman" w:eastAsia="Times New Roman" w:hAnsi="Times New Roman" w:cs="Times New Roman"/>
          <w:sz w:val="24"/>
          <w:szCs w:val="24"/>
          <w:lang w:eastAsia="ru-RU"/>
        </w:rPr>
        <w:t xml:space="preserve">) </w:t>
      </w:r>
      <w:r w:rsidRPr="002929B7">
        <w:rPr>
          <w:rFonts w:ascii="Times New Roman" w:eastAsia="Times New Roman" w:hAnsi="Times New Roman" w:cs="Times New Roman"/>
          <w:sz w:val="24"/>
          <w:szCs w:val="24"/>
          <w:lang w:eastAsia="ru-RU"/>
        </w:rPr>
        <w:t xml:space="preserve">утверждены ассигнования на реализацию в 2017 году девяти подпрограмм, входящих в состав государственной программы «Развитие здравоохранения Амурской области на 2014-2020 годы» на общую сумму </w:t>
      </w:r>
      <w:r>
        <w:rPr>
          <w:rFonts w:ascii="Times New Roman" w:eastAsia="Times New Roman" w:hAnsi="Times New Roman" w:cs="Times New Roman"/>
          <w:sz w:val="24"/>
          <w:szCs w:val="24"/>
          <w:lang w:eastAsia="ru-RU"/>
        </w:rPr>
        <w:br/>
        <w:t>7699287,9</w:t>
      </w:r>
      <w:r w:rsidRPr="002929B7">
        <w:rPr>
          <w:rFonts w:ascii="Times New Roman" w:eastAsia="Times New Roman" w:hAnsi="Times New Roman" w:cs="Times New Roman"/>
          <w:sz w:val="24"/>
          <w:szCs w:val="24"/>
          <w:lang w:eastAsia="ru-RU"/>
        </w:rPr>
        <w:t xml:space="preserve"> тыс. рублей.</w:t>
      </w:r>
    </w:p>
    <w:p w:rsidR="00711086" w:rsidRPr="002929B7" w:rsidRDefault="00711086" w:rsidP="00711086">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2929B7">
        <w:rPr>
          <w:rFonts w:ascii="Times New Roman" w:eastAsia="Times New Roman" w:hAnsi="Times New Roman" w:cs="Times New Roman"/>
          <w:sz w:val="24"/>
          <w:szCs w:val="24"/>
          <w:lang w:eastAsia="ru-RU"/>
        </w:rPr>
        <w:t>Сводной бюджетной росписью н</w:t>
      </w:r>
      <w:r w:rsidRPr="002929B7">
        <w:rPr>
          <w:rFonts w:ascii="Times New Roman" w:eastAsia="Calibri" w:hAnsi="Times New Roman" w:cs="Times New Roman"/>
          <w:sz w:val="24"/>
          <w:szCs w:val="24"/>
        </w:rPr>
        <w:t>а реализацию</w:t>
      </w:r>
      <w:r w:rsidRPr="002929B7">
        <w:rPr>
          <w:rFonts w:ascii="Times New Roman" w:eastAsia="Times New Roman" w:hAnsi="Times New Roman" w:cs="Times New Roman"/>
          <w:sz w:val="24"/>
          <w:szCs w:val="24"/>
          <w:lang w:eastAsia="ru-RU"/>
        </w:rPr>
        <w:t xml:space="preserve"> государственной программы «Развитие здравоохранения Амурской области на 2014-2020 годы» предусмотрены ассигнования в сумме 7954075,1 тыс. рублей. Исполнение бюджетных назначений составило </w:t>
      </w:r>
      <w:r>
        <w:rPr>
          <w:rFonts w:ascii="Times New Roman" w:eastAsia="Times New Roman" w:hAnsi="Times New Roman" w:cs="Times New Roman"/>
          <w:sz w:val="24"/>
          <w:szCs w:val="24"/>
          <w:lang w:eastAsia="ru-RU"/>
        </w:rPr>
        <w:br/>
      </w:r>
      <w:r w:rsidRPr="002929B7">
        <w:rPr>
          <w:rFonts w:ascii="Times New Roman" w:eastAsia="Times New Roman" w:hAnsi="Times New Roman" w:cs="Times New Roman"/>
          <w:sz w:val="24"/>
          <w:szCs w:val="24"/>
          <w:lang w:eastAsia="ru-RU"/>
        </w:rPr>
        <w:t>7922390,8 тыс. рублей, или 99,6 процента предусмотренных бюджетной росписью средств. Неисполненные назначения составили 31684,3 тыс. рублей.</w:t>
      </w:r>
    </w:p>
    <w:p w:rsidR="00711086" w:rsidRPr="002929B7" w:rsidRDefault="00711086" w:rsidP="00711086">
      <w:pPr>
        <w:pStyle w:val="aff1"/>
        <w:spacing w:line="288" w:lineRule="auto"/>
        <w:ind w:firstLine="709"/>
        <w:jc w:val="both"/>
      </w:pPr>
      <w:r w:rsidRPr="002929B7">
        <w:t>Координатором государственной программы является министерство здравоохранения Амурской области. Участники программы: министерство здравоохранения Амурской области, министерство сельского хозяйства Амурской области и министерство транспорта и строительства Амурской области.</w:t>
      </w:r>
    </w:p>
    <w:p w:rsidR="00711086" w:rsidRPr="005D1AD5" w:rsidRDefault="00711086" w:rsidP="00711086">
      <w:pPr>
        <w:autoSpaceDE w:val="0"/>
        <w:autoSpaceDN w:val="0"/>
        <w:adjustRightInd w:val="0"/>
        <w:spacing w:after="0" w:line="288" w:lineRule="auto"/>
        <w:ind w:firstLine="709"/>
        <w:jc w:val="both"/>
        <w:rPr>
          <w:rFonts w:ascii="Times New Roman" w:eastAsia="Calibri" w:hAnsi="Times New Roman" w:cs="Times New Roman"/>
          <w:sz w:val="24"/>
          <w:szCs w:val="24"/>
        </w:rPr>
      </w:pPr>
      <w:r w:rsidRPr="005D1AD5">
        <w:rPr>
          <w:rFonts w:ascii="Times New Roman" w:eastAsia="Calibri" w:hAnsi="Times New Roman" w:cs="Times New Roman"/>
          <w:sz w:val="24"/>
          <w:szCs w:val="24"/>
        </w:rPr>
        <w:t xml:space="preserve">Согласно приложению № 1 </w:t>
      </w:r>
      <w:r>
        <w:rPr>
          <w:rFonts w:ascii="Times New Roman" w:eastAsia="Calibri" w:hAnsi="Times New Roman" w:cs="Times New Roman"/>
          <w:sz w:val="24"/>
          <w:szCs w:val="24"/>
        </w:rPr>
        <w:t>«</w:t>
      </w:r>
      <w:r w:rsidRPr="004B750D">
        <w:rPr>
          <w:rFonts w:ascii="Times New Roman" w:eastAsia="Calibri" w:hAnsi="Times New Roman" w:cs="Times New Roman"/>
          <w:sz w:val="24"/>
          <w:szCs w:val="24"/>
        </w:rPr>
        <w:t>Информация о финансировании государственных программ Амурской области за январь-декабрь 2017 года (по состоянию на 01.01.2018)</w:t>
      </w:r>
      <w:r>
        <w:rPr>
          <w:rFonts w:ascii="Times New Roman" w:eastAsia="Calibri" w:hAnsi="Times New Roman" w:cs="Times New Roman"/>
          <w:sz w:val="24"/>
          <w:szCs w:val="24"/>
        </w:rPr>
        <w:t xml:space="preserve">» </w:t>
      </w:r>
      <w:r w:rsidRPr="005D1AD5">
        <w:rPr>
          <w:rFonts w:ascii="Times New Roman" w:eastAsia="Calibri" w:hAnsi="Times New Roman" w:cs="Times New Roman"/>
          <w:sz w:val="24"/>
          <w:szCs w:val="24"/>
        </w:rPr>
        <w:t>к сводному годовому докладу, представленному одновременно с годовым отчетом об исполнении областного бюджета за 2017 год:</w:t>
      </w:r>
    </w:p>
    <w:p w:rsidR="00711086" w:rsidRPr="005D1AD5" w:rsidRDefault="00711086" w:rsidP="00711086">
      <w:pPr>
        <w:autoSpaceDE w:val="0"/>
        <w:autoSpaceDN w:val="0"/>
        <w:adjustRightInd w:val="0"/>
        <w:spacing w:after="0" w:line="288" w:lineRule="auto"/>
        <w:ind w:firstLine="709"/>
        <w:jc w:val="both"/>
        <w:rPr>
          <w:rFonts w:ascii="Times New Roman" w:eastAsia="Calibri" w:hAnsi="Times New Roman" w:cs="Times New Roman"/>
          <w:sz w:val="24"/>
          <w:szCs w:val="24"/>
        </w:rPr>
      </w:pPr>
      <w:r w:rsidRPr="005D1AD5">
        <w:rPr>
          <w:rFonts w:ascii="Times New Roman" w:eastAsia="Calibri" w:hAnsi="Times New Roman" w:cs="Times New Roman"/>
          <w:sz w:val="24"/>
          <w:szCs w:val="24"/>
        </w:rPr>
        <w:t xml:space="preserve">-плановые объемы финансирования за счет средств федерального бюджета и области, отраженные в докладе на реализацию государственной программы, составляют </w:t>
      </w:r>
      <w:r>
        <w:rPr>
          <w:rFonts w:ascii="Times New Roman" w:eastAsia="Calibri" w:hAnsi="Times New Roman" w:cs="Times New Roman"/>
          <w:sz w:val="24"/>
          <w:szCs w:val="24"/>
        </w:rPr>
        <w:br/>
      </w:r>
      <w:r w:rsidRPr="005D1AD5">
        <w:rPr>
          <w:rFonts w:ascii="Times New Roman" w:eastAsia="Calibri" w:hAnsi="Times New Roman" w:cs="Times New Roman"/>
          <w:sz w:val="24"/>
          <w:szCs w:val="24"/>
        </w:rPr>
        <w:t>8029398,29 тыс. рублей, что не соответствует аналогичному плановому значению ассигнований, предусмотренному сводной бюджетной росписью в сумме 7954075,10 тыс. рублей;</w:t>
      </w:r>
    </w:p>
    <w:p w:rsidR="00711086" w:rsidRPr="005D1AD5" w:rsidRDefault="00711086" w:rsidP="00711086">
      <w:pPr>
        <w:autoSpaceDE w:val="0"/>
        <w:autoSpaceDN w:val="0"/>
        <w:adjustRightInd w:val="0"/>
        <w:spacing w:after="0" w:line="288" w:lineRule="auto"/>
        <w:ind w:firstLine="709"/>
        <w:jc w:val="both"/>
        <w:rPr>
          <w:rFonts w:ascii="Times New Roman" w:eastAsia="Calibri" w:hAnsi="Times New Roman" w:cs="Times New Roman"/>
          <w:sz w:val="24"/>
          <w:szCs w:val="24"/>
        </w:rPr>
      </w:pPr>
      <w:r w:rsidRPr="005D1AD5">
        <w:rPr>
          <w:rFonts w:ascii="Times New Roman" w:eastAsia="Calibri" w:hAnsi="Times New Roman" w:cs="Times New Roman"/>
          <w:sz w:val="24"/>
          <w:szCs w:val="24"/>
        </w:rPr>
        <w:t xml:space="preserve">-объем исполненных ассигнований, отраженных в докладе, составляет </w:t>
      </w:r>
      <w:r w:rsidRPr="005D1AD5">
        <w:rPr>
          <w:rFonts w:ascii="Times New Roman" w:eastAsia="Calibri" w:hAnsi="Times New Roman" w:cs="Times New Roman"/>
          <w:sz w:val="24"/>
          <w:szCs w:val="24"/>
        </w:rPr>
        <w:br/>
        <w:t>7917228,99 тыс. рублей. При этом согласно данным проекта закона области «Об исполнении областного бюджета за 201</w:t>
      </w:r>
      <w:r>
        <w:rPr>
          <w:rFonts w:ascii="Times New Roman" w:eastAsia="Calibri" w:hAnsi="Times New Roman" w:cs="Times New Roman"/>
          <w:sz w:val="24"/>
          <w:szCs w:val="24"/>
        </w:rPr>
        <w:t>7</w:t>
      </w:r>
      <w:r w:rsidRPr="005D1AD5">
        <w:rPr>
          <w:rFonts w:ascii="Times New Roman" w:eastAsia="Calibri" w:hAnsi="Times New Roman" w:cs="Times New Roman"/>
          <w:sz w:val="24"/>
          <w:szCs w:val="24"/>
        </w:rPr>
        <w:t xml:space="preserve"> год» аналогичный показатель составляет 7922390,8 тыс. рублей.</w:t>
      </w:r>
    </w:p>
    <w:p w:rsidR="00711086" w:rsidRPr="005D1AD5" w:rsidRDefault="00711086" w:rsidP="00711086">
      <w:pPr>
        <w:widowControl w:val="0"/>
        <w:autoSpaceDE w:val="0"/>
        <w:autoSpaceDN w:val="0"/>
        <w:adjustRightInd w:val="0"/>
        <w:spacing w:after="0" w:line="288" w:lineRule="auto"/>
        <w:ind w:firstLine="709"/>
        <w:jc w:val="both"/>
        <w:rPr>
          <w:rFonts w:ascii="Times New Roman" w:eastAsia="Times New Roman" w:hAnsi="Times New Roman" w:cs="Times New Roman"/>
          <w:i/>
          <w:sz w:val="24"/>
          <w:szCs w:val="24"/>
          <w:lang w:eastAsia="ru-RU"/>
        </w:rPr>
      </w:pPr>
      <w:r w:rsidRPr="005D1AD5">
        <w:rPr>
          <w:rFonts w:ascii="Times New Roman" w:eastAsia="Times New Roman" w:hAnsi="Times New Roman" w:cs="Times New Roman"/>
          <w:i/>
          <w:sz w:val="24"/>
          <w:szCs w:val="24"/>
          <w:lang w:eastAsia="ru-RU"/>
        </w:rPr>
        <w:t xml:space="preserve">Отражение в докладе </w:t>
      </w:r>
      <w:r w:rsidRPr="005D1AD5">
        <w:rPr>
          <w:rFonts w:ascii="Times New Roman" w:eastAsia="Calibri" w:hAnsi="Times New Roman" w:cs="Times New Roman"/>
          <w:i/>
          <w:sz w:val="24"/>
          <w:szCs w:val="24"/>
        </w:rPr>
        <w:t>о ходе реализации и об оценке эффективности государственных программ области плановых показателей и показателей о кассовом исполнении государственных программ, несоответствующих аналогичным показателям, предусмотренным сводной бюджетной росписью расходов, и показателям годового отчета об исполнении областного бюджета, противоречит положениям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 (с учетом изменений).</w:t>
      </w:r>
    </w:p>
    <w:p w:rsidR="00711086" w:rsidRDefault="00711086" w:rsidP="00711086">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5D1AD5">
        <w:rPr>
          <w:rFonts w:ascii="Times New Roman" w:eastAsia="Times New Roman" w:hAnsi="Times New Roman" w:cs="Times New Roman"/>
          <w:sz w:val="24"/>
          <w:szCs w:val="24"/>
          <w:lang w:eastAsia="ru-RU"/>
        </w:rPr>
        <w:t xml:space="preserve">В </w:t>
      </w:r>
      <w:r w:rsidRPr="00711086">
        <w:rPr>
          <w:rFonts w:ascii="Times New Roman" w:eastAsia="Times New Roman" w:hAnsi="Times New Roman" w:cs="Times New Roman"/>
          <w:sz w:val="24"/>
          <w:szCs w:val="24"/>
          <w:lang w:eastAsia="ru-RU"/>
        </w:rPr>
        <w:t>таблице 9 представлена информация об исполнении государственной программы в разрезе подпрограмм.</w:t>
      </w:r>
    </w:p>
    <w:p w:rsidR="00711086" w:rsidRPr="00711086" w:rsidRDefault="00711086" w:rsidP="0071108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11086">
        <w:rPr>
          <w:rFonts w:ascii="Times New Roman" w:eastAsia="Times New Roman" w:hAnsi="Times New Roman" w:cs="Times New Roman"/>
          <w:sz w:val="24"/>
          <w:szCs w:val="24"/>
          <w:lang w:eastAsia="ru-RU"/>
        </w:rPr>
        <w:lastRenderedPageBreak/>
        <w:t>Таблица 9</w:t>
      </w:r>
    </w:p>
    <w:p w:rsidR="00711086" w:rsidRPr="00711086" w:rsidRDefault="00711086" w:rsidP="0071108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11086">
        <w:rPr>
          <w:rFonts w:ascii="Times New Roman" w:eastAsia="Times New Roman" w:hAnsi="Times New Roman" w:cs="Times New Roman"/>
          <w:b/>
          <w:sz w:val="24"/>
          <w:szCs w:val="24"/>
          <w:lang w:eastAsia="ru-RU"/>
        </w:rPr>
        <w:t>Анализ исполнения государственной программы «</w:t>
      </w:r>
      <w:r w:rsidRPr="00711086">
        <w:rPr>
          <w:rFonts w:ascii="Times New Roman" w:eastAsia="Calibri" w:hAnsi="Times New Roman" w:cs="Times New Roman"/>
          <w:b/>
          <w:sz w:val="24"/>
          <w:szCs w:val="24"/>
        </w:rPr>
        <w:t>Развитие здравоохранения Амурской области на 2014-2020 годы</w:t>
      </w:r>
      <w:r w:rsidRPr="00711086">
        <w:rPr>
          <w:rFonts w:ascii="Times New Roman" w:eastAsia="Times New Roman" w:hAnsi="Times New Roman" w:cs="Times New Roman"/>
          <w:b/>
          <w:sz w:val="24"/>
          <w:szCs w:val="24"/>
          <w:lang w:eastAsia="ru-RU"/>
        </w:rPr>
        <w:t>» в разрезе подпрограмм</w:t>
      </w:r>
    </w:p>
    <w:p w:rsidR="00711086" w:rsidRPr="00CD5A1D" w:rsidRDefault="00711086" w:rsidP="0071108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711086" w:rsidRPr="00CD5A1D" w:rsidTr="00F07C41">
        <w:trPr>
          <w:trHeight w:val="687"/>
          <w:tblHeader/>
        </w:trPr>
        <w:tc>
          <w:tcPr>
            <w:tcW w:w="3834" w:type="dxa"/>
            <w:shd w:val="clear" w:color="auto" w:fill="auto"/>
          </w:tcPr>
          <w:p w:rsidR="00711086" w:rsidRPr="00CD5A1D" w:rsidRDefault="00711086"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711086" w:rsidRPr="00CD5A1D" w:rsidRDefault="00711086"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План</w:t>
            </w:r>
          </w:p>
        </w:tc>
        <w:tc>
          <w:tcPr>
            <w:tcW w:w="1463" w:type="dxa"/>
            <w:shd w:val="clear" w:color="auto" w:fill="auto"/>
            <w:noWrap/>
          </w:tcPr>
          <w:p w:rsidR="00711086" w:rsidRPr="00CD5A1D" w:rsidRDefault="00711086"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Исполнение</w:t>
            </w:r>
          </w:p>
        </w:tc>
        <w:tc>
          <w:tcPr>
            <w:tcW w:w="1422" w:type="dxa"/>
            <w:shd w:val="clear" w:color="auto" w:fill="auto"/>
            <w:noWrap/>
          </w:tcPr>
          <w:p w:rsidR="00711086" w:rsidRPr="00CD5A1D" w:rsidRDefault="00711086"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Уровень исполнения</w:t>
            </w:r>
          </w:p>
        </w:tc>
        <w:tc>
          <w:tcPr>
            <w:tcW w:w="1371" w:type="dxa"/>
            <w:shd w:val="clear" w:color="auto" w:fill="auto"/>
            <w:noWrap/>
          </w:tcPr>
          <w:p w:rsidR="00711086" w:rsidRPr="00CD5A1D" w:rsidRDefault="00711086" w:rsidP="00F07C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Не исполнены</w:t>
            </w:r>
          </w:p>
        </w:tc>
      </w:tr>
      <w:tr w:rsidR="00711086" w:rsidRPr="00CD5A1D" w:rsidTr="00F07C41">
        <w:trPr>
          <w:trHeight w:val="1147"/>
        </w:trPr>
        <w:tc>
          <w:tcPr>
            <w:tcW w:w="3834" w:type="dxa"/>
            <w:shd w:val="clear" w:color="auto" w:fill="auto"/>
            <w:hideMark/>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Государственная программа «</w:t>
            </w:r>
            <w:r w:rsidRPr="00CD5A1D">
              <w:rPr>
                <w:rFonts w:ascii="Times New Roman" w:eastAsia="Times New Roman" w:hAnsi="Times New Roman" w:cs="Times New Roman"/>
                <w:b/>
                <w:sz w:val="24"/>
                <w:szCs w:val="24"/>
                <w:lang w:eastAsia="ru-RU"/>
              </w:rPr>
              <w:t>Развитие здравоохранения Амурской области на 2014-2020 годы</w:t>
            </w:r>
            <w:r w:rsidRPr="00CD5A1D">
              <w:rPr>
                <w:rFonts w:ascii="Times New Roman" w:eastAsia="Times New Roman" w:hAnsi="Times New Roman" w:cs="Times New Roman"/>
                <w:b/>
                <w:bCs/>
                <w:sz w:val="24"/>
                <w:szCs w:val="24"/>
                <w:lang w:eastAsia="ru-RU"/>
              </w:rPr>
              <w:t xml:space="preserve">», </w:t>
            </w:r>
            <w:r w:rsidRPr="00CD5A1D">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7954075,10</w:t>
            </w:r>
          </w:p>
        </w:tc>
        <w:tc>
          <w:tcPr>
            <w:tcW w:w="1463"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7922390,8</w:t>
            </w:r>
          </w:p>
        </w:tc>
        <w:tc>
          <w:tcPr>
            <w:tcW w:w="1422"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99,6</w:t>
            </w:r>
          </w:p>
        </w:tc>
        <w:tc>
          <w:tcPr>
            <w:tcW w:w="137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CD5A1D">
              <w:rPr>
                <w:rFonts w:ascii="Times New Roman" w:eastAsia="Times New Roman" w:hAnsi="Times New Roman" w:cs="Times New Roman"/>
                <w:b/>
                <w:bCs/>
                <w:sz w:val="24"/>
                <w:szCs w:val="24"/>
                <w:lang w:eastAsia="ru-RU"/>
              </w:rPr>
              <w:t>-31684,3</w:t>
            </w:r>
          </w:p>
        </w:tc>
      </w:tr>
      <w:tr w:rsidR="00711086" w:rsidRPr="00CD5A1D" w:rsidTr="00F07C41">
        <w:trPr>
          <w:trHeight w:val="1260"/>
        </w:trPr>
        <w:tc>
          <w:tcPr>
            <w:tcW w:w="3834" w:type="dxa"/>
            <w:shd w:val="clear" w:color="auto" w:fill="auto"/>
            <w:hideMark/>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48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734518,9</w:t>
            </w:r>
          </w:p>
        </w:tc>
        <w:tc>
          <w:tcPr>
            <w:tcW w:w="1463"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717410,0</w:t>
            </w:r>
          </w:p>
        </w:tc>
        <w:tc>
          <w:tcPr>
            <w:tcW w:w="1422"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97,7</w:t>
            </w:r>
          </w:p>
        </w:tc>
        <w:tc>
          <w:tcPr>
            <w:tcW w:w="137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-17108,9</w:t>
            </w:r>
          </w:p>
        </w:tc>
      </w:tr>
      <w:tr w:rsidR="00711086" w:rsidRPr="00EB2FBD" w:rsidTr="00F07C41">
        <w:trPr>
          <w:trHeight w:val="945"/>
        </w:trPr>
        <w:tc>
          <w:tcPr>
            <w:tcW w:w="3834" w:type="dxa"/>
            <w:shd w:val="clear" w:color="auto" w:fill="auto"/>
            <w:hideMark/>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48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1713802,8</w:t>
            </w:r>
          </w:p>
        </w:tc>
        <w:tc>
          <w:tcPr>
            <w:tcW w:w="1463"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1713801,8</w:t>
            </w:r>
          </w:p>
        </w:tc>
        <w:tc>
          <w:tcPr>
            <w:tcW w:w="1422"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100,0</w:t>
            </w:r>
          </w:p>
        </w:tc>
        <w:tc>
          <w:tcPr>
            <w:tcW w:w="137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w:t>
            </w:r>
          </w:p>
        </w:tc>
      </w:tr>
      <w:tr w:rsidR="00711086" w:rsidRPr="00EB2FBD" w:rsidTr="00F07C41">
        <w:trPr>
          <w:trHeight w:val="543"/>
        </w:trPr>
        <w:tc>
          <w:tcPr>
            <w:tcW w:w="3834" w:type="dxa"/>
            <w:shd w:val="clear" w:color="auto" w:fill="auto"/>
            <w:hideMark/>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«Охрана здоровья матери и ребенка»</w:t>
            </w:r>
          </w:p>
        </w:tc>
        <w:tc>
          <w:tcPr>
            <w:tcW w:w="148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115145,1</w:t>
            </w:r>
          </w:p>
        </w:tc>
        <w:tc>
          <w:tcPr>
            <w:tcW w:w="1463"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106387,1</w:t>
            </w:r>
          </w:p>
        </w:tc>
        <w:tc>
          <w:tcPr>
            <w:tcW w:w="1422"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92,4</w:t>
            </w:r>
          </w:p>
        </w:tc>
        <w:tc>
          <w:tcPr>
            <w:tcW w:w="137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-8758,0</w:t>
            </w:r>
          </w:p>
        </w:tc>
      </w:tr>
      <w:tr w:rsidR="00711086" w:rsidRPr="00EB2FBD" w:rsidTr="00F07C41">
        <w:trPr>
          <w:trHeight w:val="600"/>
        </w:trPr>
        <w:tc>
          <w:tcPr>
            <w:tcW w:w="3834" w:type="dxa"/>
            <w:shd w:val="clear" w:color="auto" w:fill="auto"/>
            <w:hideMark/>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«Развитие медицинской реабилитации и санаторно–курортного лечения, в том числе детей»</w:t>
            </w:r>
          </w:p>
        </w:tc>
        <w:tc>
          <w:tcPr>
            <w:tcW w:w="148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138593,7</w:t>
            </w:r>
          </w:p>
        </w:tc>
        <w:tc>
          <w:tcPr>
            <w:tcW w:w="1463"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135722,9</w:t>
            </w:r>
          </w:p>
        </w:tc>
        <w:tc>
          <w:tcPr>
            <w:tcW w:w="1422"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97,9</w:t>
            </w:r>
          </w:p>
        </w:tc>
        <w:tc>
          <w:tcPr>
            <w:tcW w:w="1371" w:type="dxa"/>
            <w:shd w:val="clear" w:color="auto" w:fill="auto"/>
            <w:noWrap/>
            <w:hideMark/>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-2870,8</w:t>
            </w:r>
          </w:p>
        </w:tc>
      </w:tr>
      <w:tr w:rsidR="00711086" w:rsidRPr="00EB2FBD" w:rsidTr="00F07C41">
        <w:trPr>
          <w:trHeight w:val="851"/>
        </w:trPr>
        <w:tc>
          <w:tcPr>
            <w:tcW w:w="3834" w:type="dxa"/>
            <w:shd w:val="clear" w:color="auto" w:fill="auto"/>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«Кадровое обеспечение системы здравоохранения»</w:t>
            </w:r>
          </w:p>
        </w:tc>
        <w:tc>
          <w:tcPr>
            <w:tcW w:w="148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62800,0</w:t>
            </w:r>
          </w:p>
        </w:tc>
        <w:tc>
          <w:tcPr>
            <w:tcW w:w="1463"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62000,0</w:t>
            </w:r>
          </w:p>
        </w:tc>
        <w:tc>
          <w:tcPr>
            <w:tcW w:w="1422"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98,7</w:t>
            </w:r>
          </w:p>
        </w:tc>
        <w:tc>
          <w:tcPr>
            <w:tcW w:w="137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-800,0</w:t>
            </w:r>
          </w:p>
        </w:tc>
      </w:tr>
      <w:tr w:rsidR="00711086" w:rsidRPr="00EB2FBD" w:rsidTr="00F07C41">
        <w:trPr>
          <w:trHeight w:val="699"/>
        </w:trPr>
        <w:tc>
          <w:tcPr>
            <w:tcW w:w="3834" w:type="dxa"/>
            <w:shd w:val="clear" w:color="auto" w:fill="auto"/>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«Оказание паллиативной помощи, в том числе детям»</w:t>
            </w:r>
          </w:p>
        </w:tc>
        <w:tc>
          <w:tcPr>
            <w:tcW w:w="148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12341,6</w:t>
            </w:r>
          </w:p>
        </w:tc>
        <w:tc>
          <w:tcPr>
            <w:tcW w:w="1463"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12341,6</w:t>
            </w:r>
          </w:p>
        </w:tc>
        <w:tc>
          <w:tcPr>
            <w:tcW w:w="1422"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100,0</w:t>
            </w:r>
          </w:p>
        </w:tc>
        <w:tc>
          <w:tcPr>
            <w:tcW w:w="137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0</w:t>
            </w:r>
          </w:p>
        </w:tc>
      </w:tr>
      <w:tr w:rsidR="00711086" w:rsidRPr="00EB2FBD" w:rsidTr="00F07C41">
        <w:trPr>
          <w:trHeight w:val="850"/>
        </w:trPr>
        <w:tc>
          <w:tcPr>
            <w:tcW w:w="3834" w:type="dxa"/>
            <w:shd w:val="clear" w:color="auto" w:fill="auto"/>
          </w:tcPr>
          <w:p w:rsidR="00711086" w:rsidRPr="00CD5A1D" w:rsidRDefault="00711086" w:rsidP="00F07C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48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5162244,8</w:t>
            </w:r>
          </w:p>
        </w:tc>
        <w:tc>
          <w:tcPr>
            <w:tcW w:w="1463"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5160099,2</w:t>
            </w:r>
          </w:p>
        </w:tc>
        <w:tc>
          <w:tcPr>
            <w:tcW w:w="1422"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100,0</w:t>
            </w:r>
          </w:p>
        </w:tc>
        <w:tc>
          <w:tcPr>
            <w:tcW w:w="137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-2145,6</w:t>
            </w:r>
          </w:p>
        </w:tc>
      </w:tr>
      <w:tr w:rsidR="00711086" w:rsidRPr="00EB2FBD" w:rsidTr="00F07C41">
        <w:trPr>
          <w:trHeight w:val="551"/>
        </w:trPr>
        <w:tc>
          <w:tcPr>
            <w:tcW w:w="3834" w:type="dxa"/>
            <w:shd w:val="clear" w:color="auto" w:fill="auto"/>
          </w:tcPr>
          <w:p w:rsidR="00711086" w:rsidRPr="00CD5A1D" w:rsidRDefault="00711086" w:rsidP="00F07C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«Развитие информатизации в здравоохранении»</w:t>
            </w:r>
          </w:p>
        </w:tc>
        <w:tc>
          <w:tcPr>
            <w:tcW w:w="148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13836,5</w:t>
            </w:r>
          </w:p>
        </w:tc>
        <w:tc>
          <w:tcPr>
            <w:tcW w:w="1463"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13836,5</w:t>
            </w:r>
          </w:p>
        </w:tc>
        <w:tc>
          <w:tcPr>
            <w:tcW w:w="1422"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100,0</w:t>
            </w:r>
          </w:p>
        </w:tc>
        <w:tc>
          <w:tcPr>
            <w:tcW w:w="137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0</w:t>
            </w:r>
          </w:p>
        </w:tc>
      </w:tr>
      <w:tr w:rsidR="00711086" w:rsidRPr="00EB2FBD" w:rsidTr="00F07C41">
        <w:trPr>
          <w:trHeight w:val="1124"/>
        </w:trPr>
        <w:tc>
          <w:tcPr>
            <w:tcW w:w="3834" w:type="dxa"/>
            <w:shd w:val="clear" w:color="auto" w:fill="auto"/>
          </w:tcPr>
          <w:p w:rsidR="00711086" w:rsidRPr="00CD5A1D" w:rsidRDefault="00711086" w:rsidP="00F07C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Подпрограмма «Противодействие злоупотреблению наркотическими средствами и их незаконному обороту»</w:t>
            </w:r>
          </w:p>
        </w:tc>
        <w:tc>
          <w:tcPr>
            <w:tcW w:w="148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791,7</w:t>
            </w:r>
          </w:p>
        </w:tc>
        <w:tc>
          <w:tcPr>
            <w:tcW w:w="1463"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791,7</w:t>
            </w:r>
          </w:p>
        </w:tc>
        <w:tc>
          <w:tcPr>
            <w:tcW w:w="1422"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100,0</w:t>
            </w:r>
          </w:p>
        </w:tc>
        <w:tc>
          <w:tcPr>
            <w:tcW w:w="1371" w:type="dxa"/>
            <w:shd w:val="clear" w:color="auto" w:fill="auto"/>
            <w:noWrap/>
          </w:tcPr>
          <w:p w:rsidR="00711086" w:rsidRPr="00CD5A1D" w:rsidRDefault="00711086" w:rsidP="00F07C4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5A1D">
              <w:rPr>
                <w:rFonts w:ascii="Times New Roman" w:eastAsia="Times New Roman" w:hAnsi="Times New Roman" w:cs="Times New Roman"/>
                <w:sz w:val="24"/>
                <w:szCs w:val="24"/>
                <w:lang w:eastAsia="ru-RU"/>
              </w:rPr>
              <w:t>0</w:t>
            </w:r>
          </w:p>
        </w:tc>
      </w:tr>
    </w:tbl>
    <w:p w:rsidR="00711086" w:rsidRDefault="00711086" w:rsidP="00711086">
      <w:pPr>
        <w:widowControl w:val="0"/>
        <w:autoSpaceDE w:val="0"/>
        <w:autoSpaceDN w:val="0"/>
        <w:adjustRightInd w:val="0"/>
        <w:spacing w:after="0" w:line="240" w:lineRule="auto"/>
        <w:ind w:left="709"/>
        <w:contextualSpacing/>
        <w:rPr>
          <w:rFonts w:ascii="Times New Roman" w:eastAsia="Times New Roman" w:hAnsi="Times New Roman" w:cs="Times New Roman"/>
          <w:i/>
          <w:color w:val="00B050"/>
          <w:sz w:val="24"/>
          <w:szCs w:val="24"/>
          <w:lang w:eastAsia="ru-RU"/>
        </w:rPr>
      </w:pPr>
    </w:p>
    <w:p w:rsidR="00711086" w:rsidRDefault="00711086" w:rsidP="00711086">
      <w:pPr>
        <w:widowControl w:val="0"/>
        <w:autoSpaceDE w:val="0"/>
        <w:autoSpaceDN w:val="0"/>
        <w:adjustRightInd w:val="0"/>
        <w:spacing w:after="0" w:line="240" w:lineRule="auto"/>
        <w:ind w:left="709"/>
        <w:contextualSpacing/>
        <w:rPr>
          <w:rFonts w:ascii="Times New Roman" w:eastAsia="Times New Roman" w:hAnsi="Times New Roman" w:cs="Times New Roman"/>
          <w:i/>
          <w:color w:val="00B050"/>
          <w:sz w:val="24"/>
          <w:szCs w:val="24"/>
          <w:lang w:eastAsia="ru-RU"/>
        </w:rPr>
      </w:pPr>
    </w:p>
    <w:p w:rsidR="00711086" w:rsidRDefault="00711086" w:rsidP="00711086">
      <w:pPr>
        <w:widowControl w:val="0"/>
        <w:autoSpaceDE w:val="0"/>
        <w:autoSpaceDN w:val="0"/>
        <w:adjustRightInd w:val="0"/>
        <w:spacing w:after="0" w:line="240" w:lineRule="auto"/>
        <w:ind w:left="709"/>
        <w:contextualSpacing/>
        <w:rPr>
          <w:rFonts w:ascii="Times New Roman" w:eastAsia="Times New Roman" w:hAnsi="Times New Roman" w:cs="Times New Roman"/>
          <w:i/>
          <w:color w:val="00B050"/>
          <w:sz w:val="24"/>
          <w:szCs w:val="24"/>
          <w:lang w:eastAsia="ru-RU"/>
        </w:rPr>
      </w:pPr>
    </w:p>
    <w:p w:rsidR="00711086" w:rsidRPr="00EB2FBD" w:rsidRDefault="00711086" w:rsidP="00711086">
      <w:pPr>
        <w:widowControl w:val="0"/>
        <w:autoSpaceDE w:val="0"/>
        <w:autoSpaceDN w:val="0"/>
        <w:adjustRightInd w:val="0"/>
        <w:spacing w:after="0" w:line="240" w:lineRule="auto"/>
        <w:ind w:left="709"/>
        <w:contextualSpacing/>
        <w:rPr>
          <w:rFonts w:ascii="Times New Roman" w:eastAsia="Times New Roman" w:hAnsi="Times New Roman" w:cs="Times New Roman"/>
          <w:i/>
          <w:color w:val="00B050"/>
          <w:sz w:val="24"/>
          <w:szCs w:val="24"/>
          <w:lang w:eastAsia="ru-RU"/>
        </w:rPr>
      </w:pPr>
    </w:p>
    <w:p w:rsidR="00711086" w:rsidRPr="00CD5A1D" w:rsidRDefault="00711086" w:rsidP="00711086">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CD5A1D">
        <w:rPr>
          <w:rFonts w:ascii="Times New Roman" w:eastAsia="Times New Roman" w:hAnsi="Times New Roman" w:cs="Times New Roman"/>
          <w:i/>
          <w:sz w:val="24"/>
          <w:szCs w:val="24"/>
          <w:lang w:eastAsia="ru-RU"/>
        </w:rPr>
        <w:lastRenderedPageBreak/>
        <w:t>Подпрограмма «Профилактика заболеваний и формирование здорового образа жизни. Развитие первичной медико-санитарной помощи»</w:t>
      </w:r>
    </w:p>
    <w:p w:rsidR="00711086" w:rsidRPr="00CD5A1D" w:rsidRDefault="00711086" w:rsidP="00711086">
      <w:pPr>
        <w:spacing w:after="0" w:line="240" w:lineRule="auto"/>
        <w:ind w:firstLine="709"/>
        <w:jc w:val="both"/>
        <w:rPr>
          <w:rFonts w:ascii="Times New Roman" w:eastAsia="Calibri" w:hAnsi="Times New Roman" w:cs="Times New Roman"/>
          <w:sz w:val="24"/>
          <w:szCs w:val="24"/>
        </w:rPr>
      </w:pPr>
      <w:r w:rsidRPr="00CD5A1D">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734518,9 тыс. рублей. Исполнение составило 717410,0 тыс. рублей.</w:t>
      </w:r>
    </w:p>
    <w:p w:rsidR="00711086" w:rsidRPr="00CD5A1D" w:rsidRDefault="00711086" w:rsidP="00711086">
      <w:pPr>
        <w:spacing w:after="0" w:line="240" w:lineRule="auto"/>
        <w:ind w:firstLine="709"/>
        <w:jc w:val="both"/>
        <w:rPr>
          <w:rFonts w:ascii="Times New Roman" w:eastAsia="Calibri" w:hAnsi="Times New Roman" w:cs="Times New Roman"/>
          <w:sz w:val="24"/>
          <w:szCs w:val="24"/>
        </w:rPr>
      </w:pPr>
      <w:r w:rsidRPr="00CD5A1D">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97,7 процента.</w:t>
      </w:r>
    </w:p>
    <w:p w:rsidR="00711086" w:rsidRPr="00CD5A1D" w:rsidRDefault="00711086" w:rsidP="00711086">
      <w:pPr>
        <w:spacing w:after="0" w:line="240" w:lineRule="auto"/>
        <w:ind w:firstLine="709"/>
        <w:jc w:val="both"/>
        <w:rPr>
          <w:rFonts w:ascii="Times New Roman" w:eastAsia="Calibri" w:hAnsi="Times New Roman" w:cs="Times New Roman"/>
          <w:sz w:val="24"/>
          <w:szCs w:val="24"/>
        </w:rPr>
      </w:pPr>
      <w:r w:rsidRPr="00CD5A1D">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9,2 процента.</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Стопроцентное исполнение сложилось по основным мероприятиям:</w:t>
      </w:r>
    </w:p>
    <w:p w:rsidR="00711086" w:rsidRPr="00D36BB4" w:rsidRDefault="00711086" w:rsidP="00711086">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36BB4">
        <w:rPr>
          <w:rFonts w:ascii="Times New Roman" w:eastAsia="Times New Roman" w:hAnsi="Times New Roman" w:cs="Times New Roman"/>
          <w:sz w:val="24"/>
          <w:szCs w:val="24"/>
          <w:lang w:eastAsia="ru-RU"/>
        </w:rPr>
        <w:t>«</w:t>
      </w:r>
      <w:r w:rsidRPr="00D36BB4">
        <w:rPr>
          <w:rFonts w:ascii="Times New Roman" w:hAnsi="Times New Roman" w:cs="Times New Roman"/>
          <w:sz w:val="24"/>
          <w:szCs w:val="24"/>
        </w:rPr>
        <w:t>Развитие системы медицинской профилактики неинфекционных заболеваний» - 10892,0 тыс. рублей;</w:t>
      </w:r>
    </w:p>
    <w:p w:rsidR="00711086" w:rsidRPr="00D36BB4" w:rsidRDefault="00711086" w:rsidP="00711086">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36BB4">
        <w:rPr>
          <w:rFonts w:ascii="Times New Roman" w:eastAsia="Times New Roman" w:hAnsi="Times New Roman" w:cs="Times New Roman"/>
          <w:sz w:val="24"/>
          <w:szCs w:val="24"/>
          <w:lang w:eastAsia="ru-RU"/>
        </w:rPr>
        <w:t>«</w:t>
      </w:r>
      <w:r w:rsidRPr="00D36BB4">
        <w:rPr>
          <w:rFonts w:ascii="Times New Roman" w:hAnsi="Times New Roman" w:cs="Times New Roman"/>
          <w:sz w:val="24"/>
          <w:szCs w:val="24"/>
        </w:rPr>
        <w:t>Профилактика инфекционных заболеваний, включая иммунопрофилактику» - 38999,4 тыс. рублей.</w:t>
      </w:r>
    </w:p>
    <w:p w:rsidR="00711086" w:rsidRDefault="00711086" w:rsidP="0071108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36BB4">
        <w:rPr>
          <w:rFonts w:ascii="Times New Roman" w:eastAsia="Times New Roman" w:hAnsi="Times New Roman" w:cs="Times New Roman"/>
          <w:sz w:val="24"/>
          <w:szCs w:val="24"/>
          <w:lang w:eastAsia="ru-RU"/>
        </w:rPr>
        <w:t>По основн</w:t>
      </w:r>
      <w:r>
        <w:rPr>
          <w:rFonts w:ascii="Times New Roman" w:eastAsia="Times New Roman" w:hAnsi="Times New Roman" w:cs="Times New Roman"/>
          <w:sz w:val="24"/>
          <w:szCs w:val="24"/>
          <w:lang w:eastAsia="ru-RU"/>
        </w:rPr>
        <w:t>ым</w:t>
      </w:r>
      <w:r w:rsidRPr="00D36BB4">
        <w:rPr>
          <w:rFonts w:ascii="Times New Roman" w:eastAsia="Times New Roman" w:hAnsi="Times New Roman" w:cs="Times New Roman"/>
          <w:sz w:val="24"/>
          <w:szCs w:val="24"/>
          <w:lang w:eastAsia="ru-RU"/>
        </w:rPr>
        <w:t xml:space="preserve"> мероприятиям:</w:t>
      </w:r>
    </w:p>
    <w:p w:rsidR="00711086" w:rsidRDefault="00711086" w:rsidP="00711086">
      <w:pPr>
        <w:pStyle w:val="afa"/>
        <w:numPr>
          <w:ilvl w:val="0"/>
          <w:numId w:val="18"/>
        </w:numPr>
        <w:tabs>
          <w:tab w:val="left" w:pos="993"/>
        </w:tabs>
        <w:ind w:left="0" w:firstLine="710"/>
        <w:jc w:val="both"/>
        <w:rPr>
          <w:sz w:val="24"/>
          <w:szCs w:val="24"/>
        </w:rPr>
      </w:pPr>
      <w:r w:rsidRPr="00D36BB4">
        <w:rPr>
          <w:sz w:val="24"/>
          <w:szCs w:val="24"/>
        </w:rPr>
        <w:t>«Профилактика и лечение ВИЧ, вирусных гепатитов В и С» исполнение составило 99,8 процента (21454,5 тыс. рублей);</w:t>
      </w:r>
    </w:p>
    <w:p w:rsidR="00711086" w:rsidRDefault="00711086" w:rsidP="00711086">
      <w:pPr>
        <w:pStyle w:val="afa"/>
        <w:numPr>
          <w:ilvl w:val="0"/>
          <w:numId w:val="18"/>
        </w:numPr>
        <w:tabs>
          <w:tab w:val="left" w:pos="993"/>
        </w:tabs>
        <w:ind w:left="0" w:firstLine="710"/>
        <w:jc w:val="both"/>
        <w:rPr>
          <w:sz w:val="24"/>
          <w:szCs w:val="24"/>
        </w:rPr>
      </w:pPr>
      <w:r w:rsidRPr="00D36BB4">
        <w:rPr>
          <w:sz w:val="24"/>
          <w:szCs w:val="24"/>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исполнение составило 96,7 процента (395096,8 тыс. рублей);</w:t>
      </w:r>
    </w:p>
    <w:p w:rsidR="00711086" w:rsidRPr="00D36BB4" w:rsidRDefault="00711086" w:rsidP="00711086">
      <w:pPr>
        <w:pStyle w:val="afa"/>
        <w:numPr>
          <w:ilvl w:val="0"/>
          <w:numId w:val="18"/>
        </w:numPr>
        <w:tabs>
          <w:tab w:val="left" w:pos="993"/>
        </w:tabs>
        <w:ind w:left="0" w:firstLine="710"/>
        <w:jc w:val="both"/>
        <w:rPr>
          <w:sz w:val="24"/>
          <w:szCs w:val="24"/>
        </w:rPr>
      </w:pPr>
      <w:r w:rsidRPr="00D36BB4">
        <w:rPr>
          <w:sz w:val="24"/>
          <w:szCs w:val="24"/>
        </w:rPr>
        <w:t>«Развитие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у детей» исполнение составило 98,5 процента (250967,3 тыс. рублей).</w:t>
      </w:r>
    </w:p>
    <w:p w:rsidR="00711086" w:rsidRPr="00D36BB4" w:rsidRDefault="0071108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D36BB4">
        <w:rPr>
          <w:rFonts w:ascii="Times New Roman" w:eastAsia="Times New Roman" w:hAnsi="Times New Roman" w:cs="Times New Roman"/>
          <w:i/>
          <w:sz w:val="24"/>
          <w:szCs w:val="24"/>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1713802,8 тыс. рублей. Исполнение составило 1713801,8 тыс. рублей.</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 процентов.</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 xml:space="preserve">В общем объеме расходов государственной программы доля расходов данной подпрограммы составляет </w:t>
      </w:r>
      <w:r>
        <w:rPr>
          <w:rFonts w:ascii="Times New Roman" w:eastAsia="Calibri" w:hAnsi="Times New Roman" w:cs="Times New Roman"/>
          <w:sz w:val="24"/>
          <w:szCs w:val="24"/>
        </w:rPr>
        <w:t>21,5</w:t>
      </w:r>
      <w:r w:rsidRPr="00D36BB4">
        <w:rPr>
          <w:rFonts w:ascii="Times New Roman" w:eastAsia="Calibri" w:hAnsi="Times New Roman" w:cs="Times New Roman"/>
          <w:sz w:val="24"/>
          <w:szCs w:val="24"/>
        </w:rPr>
        <w:t xml:space="preserve"> процента.</w:t>
      </w:r>
    </w:p>
    <w:p w:rsidR="00711086" w:rsidRPr="00D36BB4" w:rsidRDefault="00711086" w:rsidP="007110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В полном объеме исполнены ассигнования по всем основным мероприятиям подпрограммы.</w:t>
      </w:r>
    </w:p>
    <w:p w:rsidR="00711086" w:rsidRPr="00D36BB4" w:rsidRDefault="00711086" w:rsidP="00711086">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D36BB4">
        <w:rPr>
          <w:rFonts w:ascii="Times New Roman" w:eastAsia="Times New Roman" w:hAnsi="Times New Roman" w:cs="Times New Roman"/>
          <w:i/>
          <w:sz w:val="24"/>
          <w:szCs w:val="24"/>
          <w:lang w:eastAsia="ru-RU"/>
        </w:rPr>
        <w:t>Подпрограмма «Охрана здоровья матери и ребенка»</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115145,1 тыс. рублей. Исполнение составило 106387,1 тыс. рублей.</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92,4 процента.</w:t>
      </w:r>
    </w:p>
    <w:p w:rsidR="00711086" w:rsidRPr="005D4305" w:rsidRDefault="00711086" w:rsidP="007110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D4305">
        <w:rPr>
          <w:rFonts w:ascii="Times New Roman" w:eastAsia="Calibri" w:hAnsi="Times New Roman" w:cs="Times New Roman"/>
          <w:sz w:val="24"/>
          <w:szCs w:val="24"/>
        </w:rPr>
        <w:t>Неполное освоение бюджетных ассигнований допущено по основному мероприятию «Развитие специализированной медицинской помощи детям» в размере 91,7 процента к уточненной росписи (исполнение по мероприятию «Капитальные вложения в объекты государственной (муниципальной) собственности</w:t>
      </w:r>
      <w:r w:rsidRPr="005D4305">
        <w:rPr>
          <w:rFonts w:ascii="Times New Roman" w:hAnsi="Times New Roman" w:cs="Times New Roman"/>
          <w:sz w:val="24"/>
          <w:szCs w:val="24"/>
        </w:rPr>
        <w:t>» составило 69,7 процента к уточненной росписи).</w:t>
      </w:r>
    </w:p>
    <w:p w:rsidR="00711086" w:rsidRPr="00D36BB4" w:rsidRDefault="00711086" w:rsidP="00711086">
      <w:pPr>
        <w:spacing w:after="0" w:line="240" w:lineRule="auto"/>
        <w:ind w:firstLine="709"/>
        <w:jc w:val="both"/>
        <w:rPr>
          <w:rFonts w:ascii="Times New Roman" w:eastAsia="Calibri" w:hAnsi="Times New Roman" w:cs="Times New Roman"/>
          <w:sz w:val="24"/>
          <w:szCs w:val="24"/>
        </w:rPr>
      </w:pPr>
      <w:r w:rsidRPr="00D36BB4">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1,4 процента.</w:t>
      </w:r>
    </w:p>
    <w:p w:rsidR="00711086" w:rsidRPr="005D4305" w:rsidRDefault="0071108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5D4305">
        <w:rPr>
          <w:rFonts w:ascii="Times New Roman" w:eastAsia="Times New Roman" w:hAnsi="Times New Roman" w:cs="Times New Roman"/>
          <w:i/>
          <w:sz w:val="24"/>
          <w:szCs w:val="24"/>
          <w:lang w:eastAsia="ru-RU"/>
        </w:rPr>
        <w:t>Подпрограмма «Развитие медицинской реабилитации и санаторно–курортного лечения, в том числе детей»</w:t>
      </w:r>
    </w:p>
    <w:p w:rsidR="00711086" w:rsidRPr="005D4305" w:rsidRDefault="00711086" w:rsidP="00711086">
      <w:pPr>
        <w:spacing w:after="0" w:line="240" w:lineRule="auto"/>
        <w:ind w:firstLine="709"/>
        <w:jc w:val="both"/>
        <w:rPr>
          <w:rFonts w:ascii="Times New Roman" w:eastAsia="Calibri" w:hAnsi="Times New Roman" w:cs="Times New Roman"/>
          <w:sz w:val="24"/>
          <w:szCs w:val="24"/>
        </w:rPr>
      </w:pPr>
      <w:r w:rsidRPr="005D4305">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138593,7 тыс. рублей. Исполнение составило 135722,9 тыс. рублей.</w:t>
      </w:r>
    </w:p>
    <w:p w:rsidR="00711086" w:rsidRPr="005D4305" w:rsidRDefault="00711086" w:rsidP="00711086">
      <w:pPr>
        <w:spacing w:after="0" w:line="240" w:lineRule="auto"/>
        <w:ind w:firstLine="709"/>
        <w:jc w:val="both"/>
        <w:rPr>
          <w:rFonts w:ascii="Times New Roman" w:eastAsia="Calibri" w:hAnsi="Times New Roman" w:cs="Times New Roman"/>
          <w:sz w:val="24"/>
          <w:szCs w:val="24"/>
        </w:rPr>
      </w:pPr>
      <w:r w:rsidRPr="005D4305">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97,9 процента.</w:t>
      </w:r>
    </w:p>
    <w:p w:rsidR="00711086" w:rsidRPr="005D4305" w:rsidRDefault="00711086" w:rsidP="00711086">
      <w:pPr>
        <w:spacing w:after="0" w:line="240" w:lineRule="auto"/>
        <w:ind w:firstLine="709"/>
        <w:jc w:val="both"/>
        <w:rPr>
          <w:rFonts w:ascii="Times New Roman" w:eastAsia="Calibri" w:hAnsi="Times New Roman" w:cs="Times New Roman"/>
          <w:sz w:val="24"/>
          <w:szCs w:val="24"/>
        </w:rPr>
      </w:pPr>
      <w:r w:rsidRPr="005D4305">
        <w:rPr>
          <w:rFonts w:ascii="Times New Roman" w:eastAsia="Calibri" w:hAnsi="Times New Roman" w:cs="Times New Roman"/>
          <w:sz w:val="24"/>
          <w:szCs w:val="24"/>
        </w:rPr>
        <w:lastRenderedPageBreak/>
        <w:t>В общем объеме расходов государственной программы доля расходов данной подпрограммы составляет 1,7 процента.</w:t>
      </w:r>
    </w:p>
    <w:p w:rsidR="00711086" w:rsidRPr="002C2A94" w:rsidRDefault="00711086" w:rsidP="0071108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C2A94">
        <w:rPr>
          <w:rFonts w:ascii="Times New Roman" w:eastAsia="Calibri" w:hAnsi="Times New Roman" w:cs="Times New Roman"/>
          <w:sz w:val="24"/>
          <w:szCs w:val="24"/>
        </w:rPr>
        <w:t>В полном объеме исполнены ассигнования по основному направлению «</w:t>
      </w:r>
      <w:r w:rsidRPr="002C2A94">
        <w:rPr>
          <w:rFonts w:ascii="Times New Roman" w:hAnsi="Times New Roman" w:cs="Times New Roman"/>
          <w:sz w:val="24"/>
          <w:szCs w:val="24"/>
        </w:rPr>
        <w:t>Развитие санаторно-курортного лечения, в том числе детей» - 92100,9 тыс. рублей. Исполнение по основному мероприятию «Развитие медицинской реабилитации, в том числе детей» составило 93,</w:t>
      </w:r>
      <w:r>
        <w:rPr>
          <w:rFonts w:ascii="Times New Roman" w:hAnsi="Times New Roman" w:cs="Times New Roman"/>
          <w:sz w:val="24"/>
          <w:szCs w:val="24"/>
        </w:rPr>
        <w:t>8</w:t>
      </w:r>
      <w:r w:rsidRPr="002C2A94">
        <w:rPr>
          <w:rFonts w:ascii="Times New Roman" w:hAnsi="Times New Roman" w:cs="Times New Roman"/>
          <w:sz w:val="24"/>
          <w:szCs w:val="24"/>
        </w:rPr>
        <w:t xml:space="preserve"> процента. </w:t>
      </w:r>
    </w:p>
    <w:p w:rsidR="00711086" w:rsidRPr="008B2DCE" w:rsidRDefault="00711086" w:rsidP="00711086">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8B2DCE">
        <w:rPr>
          <w:rFonts w:ascii="Times New Roman" w:eastAsia="Times New Roman" w:hAnsi="Times New Roman" w:cs="Times New Roman"/>
          <w:i/>
          <w:sz w:val="24"/>
          <w:szCs w:val="24"/>
          <w:lang w:eastAsia="ru-RU"/>
        </w:rPr>
        <w:t>Подпрограмма «Кадровое обеспечение системы здравоохранения»</w:t>
      </w:r>
    </w:p>
    <w:p w:rsidR="00711086" w:rsidRDefault="00711086" w:rsidP="00711086">
      <w:pPr>
        <w:spacing w:after="0" w:line="240" w:lineRule="auto"/>
        <w:ind w:firstLine="709"/>
        <w:jc w:val="both"/>
        <w:rPr>
          <w:rFonts w:ascii="Times New Roman" w:hAnsi="Times New Roman" w:cs="Times New Roman"/>
          <w:sz w:val="24"/>
          <w:szCs w:val="24"/>
        </w:rPr>
      </w:pPr>
      <w:r w:rsidRPr="008B2DCE">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62800,0 тыс. рублей</w:t>
      </w:r>
      <w:r>
        <w:rPr>
          <w:rFonts w:ascii="Times New Roman" w:eastAsia="Calibri" w:hAnsi="Times New Roman" w:cs="Times New Roman"/>
          <w:sz w:val="24"/>
          <w:szCs w:val="24"/>
        </w:rPr>
        <w:t>,</w:t>
      </w:r>
      <w:r w:rsidRPr="008B2DCE">
        <w:rPr>
          <w:rFonts w:ascii="Times New Roman" w:hAnsi="Times New Roman" w:cs="Times New Roman"/>
          <w:sz w:val="24"/>
          <w:szCs w:val="24"/>
        </w:rPr>
        <w:t xml:space="preserve"> </w:t>
      </w:r>
      <w:r w:rsidRPr="00E46ABA">
        <w:rPr>
          <w:rFonts w:ascii="Times New Roman" w:hAnsi="Times New Roman" w:cs="Times New Roman"/>
          <w:sz w:val="24"/>
          <w:szCs w:val="24"/>
        </w:rPr>
        <w:t xml:space="preserve">в том числе за счет средств Территориального фонда обязательного медицинского страхования Амурской области – </w:t>
      </w:r>
      <w:r>
        <w:rPr>
          <w:rFonts w:ascii="Times New Roman" w:hAnsi="Times New Roman" w:cs="Times New Roman"/>
          <w:sz w:val="24"/>
          <w:szCs w:val="24"/>
        </w:rPr>
        <w:t>36600,0</w:t>
      </w:r>
      <w:r w:rsidRPr="00E46ABA">
        <w:rPr>
          <w:rFonts w:ascii="Times New Roman" w:hAnsi="Times New Roman" w:cs="Times New Roman"/>
          <w:sz w:val="24"/>
          <w:szCs w:val="24"/>
        </w:rPr>
        <w:t xml:space="preserve"> тыс. рублей, за счет средств областного бюджета – 2</w:t>
      </w:r>
      <w:r>
        <w:rPr>
          <w:rFonts w:ascii="Times New Roman" w:hAnsi="Times New Roman" w:cs="Times New Roman"/>
          <w:sz w:val="24"/>
          <w:szCs w:val="24"/>
        </w:rPr>
        <w:t>62</w:t>
      </w:r>
      <w:r w:rsidRPr="00E46ABA">
        <w:rPr>
          <w:rFonts w:ascii="Times New Roman" w:hAnsi="Times New Roman" w:cs="Times New Roman"/>
          <w:sz w:val="24"/>
          <w:szCs w:val="24"/>
        </w:rPr>
        <w:t>00,0 тыс. рублей.</w:t>
      </w:r>
      <w:r w:rsidRPr="008B2DCE">
        <w:rPr>
          <w:rFonts w:ascii="Times New Roman" w:eastAsia="Calibri" w:hAnsi="Times New Roman" w:cs="Times New Roman"/>
          <w:sz w:val="24"/>
          <w:szCs w:val="24"/>
        </w:rPr>
        <w:t xml:space="preserve"> Исполнение составило </w:t>
      </w:r>
      <w:r>
        <w:rPr>
          <w:rFonts w:ascii="Times New Roman" w:eastAsia="Calibri" w:hAnsi="Times New Roman" w:cs="Times New Roman"/>
          <w:sz w:val="24"/>
          <w:szCs w:val="24"/>
        </w:rPr>
        <w:br/>
      </w:r>
      <w:r w:rsidRPr="008B2DCE">
        <w:rPr>
          <w:rFonts w:ascii="Times New Roman" w:eastAsia="Calibri" w:hAnsi="Times New Roman" w:cs="Times New Roman"/>
          <w:sz w:val="24"/>
          <w:szCs w:val="24"/>
        </w:rPr>
        <w:t>62000,0 тыс. рублей</w:t>
      </w:r>
      <w:r>
        <w:rPr>
          <w:rFonts w:ascii="Times New Roman" w:eastAsia="Calibri" w:hAnsi="Times New Roman" w:cs="Times New Roman"/>
          <w:sz w:val="24"/>
          <w:szCs w:val="24"/>
        </w:rPr>
        <w:t xml:space="preserve">, </w:t>
      </w:r>
      <w:r w:rsidRPr="00E46ABA">
        <w:rPr>
          <w:rFonts w:ascii="Times New Roman" w:hAnsi="Times New Roman" w:cs="Times New Roman"/>
          <w:sz w:val="24"/>
          <w:szCs w:val="24"/>
        </w:rPr>
        <w:t xml:space="preserve">в том числе за счет средств Территориального фонда обязательного медицинского страхования Амурской области – </w:t>
      </w:r>
      <w:r>
        <w:rPr>
          <w:rFonts w:ascii="Times New Roman" w:hAnsi="Times New Roman" w:cs="Times New Roman"/>
          <w:sz w:val="24"/>
          <w:szCs w:val="24"/>
        </w:rPr>
        <w:t>36600</w:t>
      </w:r>
      <w:r w:rsidRPr="00E46ABA">
        <w:rPr>
          <w:rFonts w:ascii="Times New Roman" w:hAnsi="Times New Roman" w:cs="Times New Roman"/>
          <w:sz w:val="24"/>
          <w:szCs w:val="24"/>
        </w:rPr>
        <w:t>,0 тыс. рублей, за счет средств областного бюджета – 2</w:t>
      </w:r>
      <w:r>
        <w:rPr>
          <w:rFonts w:ascii="Times New Roman" w:hAnsi="Times New Roman" w:cs="Times New Roman"/>
          <w:sz w:val="24"/>
          <w:szCs w:val="24"/>
        </w:rPr>
        <w:t>5400</w:t>
      </w:r>
      <w:r w:rsidRPr="00E46ABA">
        <w:rPr>
          <w:rFonts w:ascii="Times New Roman" w:hAnsi="Times New Roman" w:cs="Times New Roman"/>
          <w:sz w:val="24"/>
          <w:szCs w:val="24"/>
        </w:rPr>
        <w:t>,0 тыс. рублей.</w:t>
      </w:r>
      <w:r>
        <w:rPr>
          <w:rFonts w:ascii="Times New Roman" w:hAnsi="Times New Roman" w:cs="Times New Roman"/>
          <w:sz w:val="24"/>
          <w:szCs w:val="24"/>
        </w:rPr>
        <w:t xml:space="preserve"> </w:t>
      </w:r>
    </w:p>
    <w:p w:rsidR="00711086" w:rsidRPr="008B2DCE" w:rsidRDefault="00711086" w:rsidP="00711086">
      <w:pPr>
        <w:spacing w:after="0" w:line="240" w:lineRule="auto"/>
        <w:ind w:firstLine="709"/>
        <w:jc w:val="both"/>
        <w:rPr>
          <w:rFonts w:ascii="Times New Roman" w:eastAsia="Calibri" w:hAnsi="Times New Roman" w:cs="Times New Roman"/>
          <w:sz w:val="24"/>
          <w:szCs w:val="24"/>
        </w:rPr>
      </w:pPr>
      <w:r w:rsidRPr="008B2DCE">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98,7 процент</w:t>
      </w:r>
      <w:r>
        <w:rPr>
          <w:rFonts w:ascii="Times New Roman" w:eastAsia="Calibri" w:hAnsi="Times New Roman" w:cs="Times New Roman"/>
          <w:sz w:val="24"/>
          <w:szCs w:val="24"/>
        </w:rPr>
        <w:t>а</w:t>
      </w:r>
      <w:r w:rsidRPr="008B2DCE">
        <w:rPr>
          <w:rFonts w:ascii="Times New Roman" w:eastAsia="Calibri" w:hAnsi="Times New Roman" w:cs="Times New Roman"/>
          <w:sz w:val="24"/>
          <w:szCs w:val="24"/>
        </w:rPr>
        <w:t>.</w:t>
      </w:r>
    </w:p>
    <w:p w:rsidR="00711086" w:rsidRPr="008B2DCE" w:rsidRDefault="00711086" w:rsidP="00711086">
      <w:pPr>
        <w:spacing w:after="0" w:line="240" w:lineRule="auto"/>
        <w:ind w:firstLine="709"/>
        <w:jc w:val="both"/>
        <w:rPr>
          <w:rFonts w:ascii="Times New Roman" w:eastAsia="Calibri" w:hAnsi="Times New Roman" w:cs="Times New Roman"/>
          <w:sz w:val="24"/>
          <w:szCs w:val="24"/>
        </w:rPr>
      </w:pPr>
      <w:r w:rsidRPr="008B2DCE">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0,8 процента.</w:t>
      </w:r>
    </w:p>
    <w:p w:rsidR="00711086" w:rsidRPr="000F275A" w:rsidRDefault="00711086" w:rsidP="00711086">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0F275A">
        <w:rPr>
          <w:rFonts w:ascii="Times New Roman" w:eastAsia="Times New Roman" w:hAnsi="Times New Roman" w:cs="Times New Roman"/>
          <w:i/>
          <w:sz w:val="24"/>
          <w:szCs w:val="24"/>
          <w:lang w:eastAsia="ru-RU"/>
        </w:rPr>
        <w:t>Подпрограмма «Оказание паллиативной помощи, в том числе детям»</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12341,6 тыс. рублей. Исполнение составило 12341,6 тыс. рублей.</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 процентов.</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0,2 процент</w:t>
      </w:r>
      <w:r>
        <w:rPr>
          <w:rFonts w:ascii="Times New Roman" w:eastAsia="Calibri" w:hAnsi="Times New Roman" w:cs="Times New Roman"/>
          <w:sz w:val="24"/>
          <w:szCs w:val="24"/>
        </w:rPr>
        <w:t>а</w:t>
      </w:r>
      <w:r w:rsidRPr="000F275A">
        <w:rPr>
          <w:rFonts w:ascii="Times New Roman" w:eastAsia="Calibri" w:hAnsi="Times New Roman" w:cs="Times New Roman"/>
          <w:sz w:val="24"/>
          <w:szCs w:val="24"/>
        </w:rPr>
        <w:t>.</w:t>
      </w:r>
    </w:p>
    <w:p w:rsidR="00711086" w:rsidRPr="000F275A" w:rsidRDefault="00711086" w:rsidP="007110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В рамках подпрограммы осуществлялось финансирование расходов на обеспечение деятельности (оказание услуг) государственных учреждений.</w:t>
      </w:r>
    </w:p>
    <w:p w:rsidR="00711086" w:rsidRPr="000F275A" w:rsidRDefault="0071108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0F275A">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5162244,8 тыс. рублей. Исполнение составило 5160099,2 тыс. рублей.</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 процентов.</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64,9 процента.</w:t>
      </w:r>
    </w:p>
    <w:p w:rsidR="00711086" w:rsidRPr="000F275A" w:rsidRDefault="00711086" w:rsidP="0071108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F275A">
        <w:rPr>
          <w:rFonts w:ascii="Times New Roman" w:eastAsia="Times New Roman" w:hAnsi="Times New Roman" w:cs="Times New Roman"/>
          <w:sz w:val="24"/>
          <w:szCs w:val="24"/>
          <w:lang w:eastAsia="ru-RU"/>
        </w:rPr>
        <w:t xml:space="preserve">В полном объеме </w:t>
      </w:r>
      <w:r w:rsidRPr="000F275A">
        <w:rPr>
          <w:rFonts w:ascii="Times New Roman" w:eastAsia="Calibri" w:hAnsi="Times New Roman" w:cs="Times New Roman"/>
          <w:sz w:val="24"/>
          <w:szCs w:val="24"/>
        </w:rPr>
        <w:t>исполнены ассигнования по основным мероприятиям «</w:t>
      </w:r>
      <w:r w:rsidRPr="000F275A">
        <w:rPr>
          <w:rFonts w:ascii="Times New Roman" w:hAnsi="Times New Roman" w:cs="Times New Roman"/>
          <w:sz w:val="24"/>
          <w:szCs w:val="24"/>
        </w:rPr>
        <w:t>Отдельные полномочия в области здравоохранения» (5047408,3 тыс. рублей) и «Развитие судебно-медицинской экспертизы»</w:t>
      </w:r>
      <w:r>
        <w:rPr>
          <w:rFonts w:ascii="Times New Roman" w:hAnsi="Times New Roman" w:cs="Times New Roman"/>
          <w:sz w:val="24"/>
          <w:szCs w:val="24"/>
        </w:rPr>
        <w:t xml:space="preserve"> </w:t>
      </w:r>
      <w:r w:rsidRPr="000F275A">
        <w:rPr>
          <w:rFonts w:ascii="Times New Roman" w:hAnsi="Times New Roman" w:cs="Times New Roman"/>
          <w:sz w:val="24"/>
          <w:szCs w:val="24"/>
        </w:rPr>
        <w:t>(61181,6 тыс. рублей).</w:t>
      </w:r>
    </w:p>
    <w:p w:rsidR="00711086" w:rsidRPr="000F275A" w:rsidRDefault="00711086" w:rsidP="00711086">
      <w:pPr>
        <w:spacing w:after="0" w:line="240" w:lineRule="auto"/>
        <w:ind w:firstLine="709"/>
        <w:jc w:val="both"/>
        <w:rPr>
          <w:rFonts w:ascii="Times New Roman" w:hAnsi="Times New Roman" w:cs="Times New Roman"/>
          <w:sz w:val="24"/>
          <w:szCs w:val="24"/>
        </w:rPr>
      </w:pPr>
      <w:r w:rsidRPr="000F275A">
        <w:rPr>
          <w:rFonts w:ascii="Times New Roman" w:eastAsia="Calibri" w:hAnsi="Times New Roman" w:cs="Times New Roman"/>
          <w:sz w:val="24"/>
          <w:szCs w:val="24"/>
        </w:rPr>
        <w:t>Исполнение расходов, предусмотренных на реализацию основного мероприятия «</w:t>
      </w:r>
      <w:r w:rsidRPr="000F275A">
        <w:rPr>
          <w:rFonts w:ascii="Times New Roman" w:hAnsi="Times New Roman" w:cs="Times New Roman"/>
          <w:sz w:val="24"/>
          <w:szCs w:val="24"/>
        </w:rPr>
        <w:t>Обеспечение функций исполнительных органов государственной власти» составило 96,9 процента (51509,3 тыс. рублей).</w:t>
      </w:r>
    </w:p>
    <w:p w:rsidR="00711086" w:rsidRPr="000F275A" w:rsidRDefault="00711086" w:rsidP="00711086">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0F275A">
        <w:rPr>
          <w:rFonts w:ascii="Times New Roman" w:eastAsia="Times New Roman" w:hAnsi="Times New Roman" w:cs="Times New Roman"/>
          <w:i/>
          <w:sz w:val="24"/>
          <w:szCs w:val="24"/>
          <w:lang w:eastAsia="ru-RU"/>
        </w:rPr>
        <w:t>Подпрограмма «Развитие информатизации в здравоохранении»</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Бюджетные ассигнования по подпрограмме утверждены в расходах областного бюджета в сумме 13836,5 тыс. рублей. Исполнение составило 13836,5 тыс. рублей.</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100 процентов.</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В общем объеме расходов государственной программы доля расходов данной подпрограммы составляет 0,2 процента.</w:t>
      </w:r>
    </w:p>
    <w:p w:rsidR="00711086" w:rsidRDefault="00711086" w:rsidP="007110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В рамках подпрограммы осуществлялось финансирование расходов на обеспечение деятельности (оказание услуг) государственных учреждений.</w:t>
      </w:r>
    </w:p>
    <w:p w:rsidR="00051B16" w:rsidRDefault="00051B1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p>
    <w:p w:rsidR="00051B16" w:rsidRDefault="00051B1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p>
    <w:p w:rsidR="00051B16" w:rsidRDefault="00051B1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p>
    <w:p w:rsidR="00711086" w:rsidRPr="000F275A" w:rsidRDefault="00711086" w:rsidP="00711086">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0F275A">
        <w:rPr>
          <w:rFonts w:ascii="Times New Roman" w:eastAsia="Times New Roman" w:hAnsi="Times New Roman" w:cs="Times New Roman"/>
          <w:i/>
          <w:sz w:val="24"/>
          <w:szCs w:val="24"/>
          <w:lang w:eastAsia="ru-RU"/>
        </w:rPr>
        <w:lastRenderedPageBreak/>
        <w:t>Подпрограмма «Противодействие злоупотреблению наркотическими средствами и их незаконному обороту»</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в сумме 791,7 тыс. рублей. Исполнение расходов, предусмотренных на реализацию мероприятий подпрограммы, составило 100,0 процентов.</w:t>
      </w:r>
    </w:p>
    <w:p w:rsidR="00711086" w:rsidRPr="000F275A" w:rsidRDefault="00711086" w:rsidP="00711086">
      <w:pPr>
        <w:spacing w:after="0" w:line="240" w:lineRule="auto"/>
        <w:ind w:firstLine="709"/>
        <w:jc w:val="both"/>
        <w:rPr>
          <w:rFonts w:ascii="Times New Roman" w:eastAsia="Calibri" w:hAnsi="Times New Roman" w:cs="Times New Roman"/>
          <w:sz w:val="24"/>
          <w:szCs w:val="24"/>
        </w:rPr>
      </w:pPr>
      <w:r w:rsidRPr="000F275A">
        <w:rPr>
          <w:rFonts w:ascii="Times New Roman" w:eastAsia="Calibri" w:hAnsi="Times New Roman" w:cs="Times New Roman"/>
          <w:sz w:val="24"/>
          <w:szCs w:val="24"/>
        </w:rPr>
        <w:t>В общем объеме расходов государственной программы доля расходов по данной подпрограмме составляет менее 1 процента.</w:t>
      </w:r>
    </w:p>
    <w:p w:rsidR="00711086" w:rsidRPr="008A50AB" w:rsidRDefault="00711086" w:rsidP="00711086">
      <w:pPr>
        <w:autoSpaceDE w:val="0"/>
        <w:autoSpaceDN w:val="0"/>
        <w:adjustRightInd w:val="0"/>
        <w:spacing w:after="0" w:line="240" w:lineRule="auto"/>
        <w:ind w:firstLine="709"/>
        <w:jc w:val="both"/>
        <w:rPr>
          <w:rFonts w:ascii="Times New Roman" w:hAnsi="Times New Roman" w:cs="Times New Roman"/>
          <w:sz w:val="24"/>
          <w:szCs w:val="24"/>
        </w:rPr>
      </w:pPr>
      <w:r w:rsidRPr="000E73F5">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2017 году» к с</w:t>
      </w:r>
      <w:r w:rsidRPr="000E73F5">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2017 году, государственная программа </w:t>
      </w:r>
      <w:r w:rsidRPr="000E73F5">
        <w:rPr>
          <w:rFonts w:ascii="Times New Roman" w:eastAsia="Times New Roman" w:hAnsi="Times New Roman" w:cs="Times New Roman"/>
          <w:sz w:val="24"/>
          <w:szCs w:val="24"/>
          <w:lang w:eastAsia="ru-RU"/>
        </w:rPr>
        <w:t xml:space="preserve">«Развитие здравоохранения Амурской области на 2014-2020 годы» признана эффективной.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При этом следует отметить, что не достигнуты </w:t>
      </w:r>
      <w:r>
        <w:rPr>
          <w:rFonts w:ascii="Times New Roman" w:eastAsia="Times New Roman" w:hAnsi="Times New Roman" w:cs="Times New Roman"/>
          <w:sz w:val="24"/>
          <w:szCs w:val="24"/>
          <w:lang w:eastAsia="ru-RU"/>
        </w:rPr>
        <w:t>отдельные</w:t>
      </w:r>
      <w:r w:rsidRPr="000E73F5">
        <w:rPr>
          <w:rFonts w:ascii="Times New Roman" w:eastAsia="Times New Roman" w:hAnsi="Times New Roman" w:cs="Times New Roman"/>
          <w:sz w:val="24"/>
          <w:szCs w:val="24"/>
          <w:lang w:eastAsia="ru-RU"/>
        </w:rPr>
        <w:t xml:space="preserve"> индикатор</w:t>
      </w:r>
      <w:r>
        <w:rPr>
          <w:rFonts w:ascii="Times New Roman" w:eastAsia="Times New Roman" w:hAnsi="Times New Roman" w:cs="Times New Roman"/>
          <w:sz w:val="24"/>
          <w:szCs w:val="24"/>
          <w:lang w:eastAsia="ru-RU"/>
        </w:rPr>
        <w:t>ы</w:t>
      </w:r>
      <w:r w:rsidRPr="000E73F5">
        <w:rPr>
          <w:rFonts w:ascii="Times New Roman" w:eastAsia="Times New Roman" w:hAnsi="Times New Roman" w:cs="Times New Roman"/>
          <w:sz w:val="24"/>
          <w:szCs w:val="24"/>
          <w:lang w:eastAsia="ru-RU"/>
        </w:rPr>
        <w:t xml:space="preserve"> по смертности</w:t>
      </w:r>
      <w:r>
        <w:rPr>
          <w:rFonts w:ascii="Times New Roman" w:eastAsia="Times New Roman" w:hAnsi="Times New Roman" w:cs="Times New Roman"/>
          <w:sz w:val="24"/>
          <w:szCs w:val="24"/>
          <w:lang w:eastAsia="ru-RU"/>
        </w:rPr>
        <w:t xml:space="preserve">. </w:t>
      </w:r>
      <w:r w:rsidRPr="008A50AB">
        <w:rPr>
          <w:rFonts w:ascii="Times New Roman" w:eastAsia="Times New Roman" w:hAnsi="Times New Roman" w:cs="Times New Roman"/>
          <w:sz w:val="24"/>
          <w:szCs w:val="24"/>
          <w:lang w:eastAsia="ru-RU"/>
        </w:rPr>
        <w:t xml:space="preserve">Так, при плановом показателе смертности от новообразований </w:t>
      </w:r>
      <w:r w:rsidRPr="008A50AB">
        <w:rPr>
          <w:rFonts w:ascii="Times New Roman" w:hAnsi="Times New Roman" w:cs="Times New Roman"/>
          <w:sz w:val="24"/>
          <w:szCs w:val="24"/>
        </w:rPr>
        <w:t>(в том числе злокачественных) до 160,5 случаев на 100 тыс. населения, фактический показатель составил 197,5 случаев на 100 тыс. населения и при плановом показателе смертности от дорожно-транспортных происшествий до 11,2 случаев на 100 тыс. населения фактический показатель составил 17,3 случая на 100 тыс. населения. Наблюдается увеличение распространенности потребления табака среди детей и подростков до 17,2 процентов при плане 16,8 процент</w:t>
      </w:r>
      <w:r>
        <w:rPr>
          <w:rFonts w:ascii="Times New Roman" w:hAnsi="Times New Roman" w:cs="Times New Roman"/>
          <w:sz w:val="24"/>
          <w:szCs w:val="24"/>
        </w:rPr>
        <w:t>а</w:t>
      </w:r>
      <w:r w:rsidRPr="008A50AB">
        <w:rPr>
          <w:rFonts w:ascii="Times New Roman" w:hAnsi="Times New Roman" w:cs="Times New Roman"/>
          <w:sz w:val="24"/>
          <w:szCs w:val="24"/>
        </w:rPr>
        <w:t>.</w:t>
      </w:r>
      <w:r>
        <w:rPr>
          <w:rFonts w:ascii="Times New Roman" w:hAnsi="Times New Roman" w:cs="Times New Roman"/>
          <w:sz w:val="24"/>
          <w:szCs w:val="24"/>
        </w:rPr>
        <w:t xml:space="preserve"> Не обеспечено плановое соотношение</w:t>
      </w:r>
      <w:r w:rsidRPr="008A50AB">
        <w:rPr>
          <w:rFonts w:ascii="Times New Roman" w:hAnsi="Times New Roman" w:cs="Times New Roman"/>
          <w:sz w:val="24"/>
          <w:szCs w:val="24"/>
        </w:rPr>
        <w:t xml:space="preserve"> врачей и среднего медицинского персонала</w:t>
      </w:r>
      <w:r>
        <w:rPr>
          <w:rFonts w:ascii="Times New Roman" w:hAnsi="Times New Roman" w:cs="Times New Roman"/>
          <w:sz w:val="24"/>
          <w:szCs w:val="24"/>
        </w:rPr>
        <w:t xml:space="preserve"> (фактический показатель 1/2.1, плановый 1/2.6). </w:t>
      </w:r>
    </w:p>
    <w:p w:rsidR="00711086" w:rsidRPr="00711086" w:rsidRDefault="00711086" w:rsidP="007110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1F">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711086">
        <w:rPr>
          <w:rFonts w:ascii="Times New Roman" w:eastAsia="Times New Roman" w:hAnsi="Times New Roman" w:cs="Times New Roman"/>
          <w:sz w:val="24"/>
          <w:szCs w:val="24"/>
          <w:lang w:eastAsia="ru-RU"/>
        </w:rPr>
        <w:t>рисунке 26.</w:t>
      </w:r>
    </w:p>
    <w:p w:rsidR="00711086" w:rsidRDefault="00711086" w:rsidP="00711086">
      <w:pPr>
        <w:spacing w:after="0" w:line="240" w:lineRule="auto"/>
        <w:ind w:firstLine="709"/>
        <w:jc w:val="both"/>
        <w:rPr>
          <w:rFonts w:ascii="Times New Roman" w:eastAsia="Calibri" w:hAnsi="Times New Roman" w:cs="Times New Roman"/>
          <w:sz w:val="24"/>
          <w:szCs w:val="24"/>
        </w:rPr>
      </w:pPr>
    </w:p>
    <w:p w:rsidR="00711086" w:rsidRDefault="00711086" w:rsidP="00711086">
      <w:pPr>
        <w:spacing w:after="0" w:line="240" w:lineRule="auto"/>
        <w:ind w:firstLine="709"/>
        <w:jc w:val="both"/>
        <w:rPr>
          <w:rFonts w:ascii="Times New Roman" w:eastAsia="Calibri" w:hAnsi="Times New Roman" w:cs="Times New Roman"/>
          <w:sz w:val="24"/>
          <w:szCs w:val="24"/>
        </w:rPr>
      </w:pPr>
      <w:r>
        <w:rPr>
          <w:noProof/>
          <w:lang w:eastAsia="ru-RU"/>
        </w:rPr>
        <w:drawing>
          <wp:inline distT="0" distB="0" distL="0" distR="0" wp14:anchorId="76BDE8DC" wp14:editId="6E9B36D5">
            <wp:extent cx="5613621" cy="3912041"/>
            <wp:effectExtent l="0" t="0" r="25400" b="127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11086" w:rsidRPr="00BA7A3B" w:rsidRDefault="00711086" w:rsidP="00711086">
      <w:pPr>
        <w:spacing w:after="0" w:line="240" w:lineRule="auto"/>
        <w:jc w:val="both"/>
        <w:rPr>
          <w:rFonts w:ascii="Times New Roman" w:eastAsia="Calibri" w:hAnsi="Times New Roman" w:cs="Times New Roman"/>
          <w:sz w:val="24"/>
          <w:szCs w:val="24"/>
        </w:rPr>
      </w:pPr>
    </w:p>
    <w:p w:rsidR="00711086" w:rsidRPr="00BF5AA9" w:rsidRDefault="00711086" w:rsidP="00711086">
      <w:pPr>
        <w:spacing w:after="0" w:line="240" w:lineRule="auto"/>
        <w:ind w:firstLine="709"/>
        <w:jc w:val="center"/>
        <w:rPr>
          <w:rFonts w:ascii="Times New Roman" w:eastAsia="Calibri" w:hAnsi="Times New Roman" w:cs="Times New Roman"/>
          <w:b/>
          <w:noProof/>
          <w:sz w:val="24"/>
          <w:szCs w:val="24"/>
          <w:lang w:eastAsia="ru-RU"/>
        </w:rPr>
      </w:pPr>
      <w:r w:rsidRPr="00711086">
        <w:rPr>
          <w:rFonts w:ascii="Times New Roman" w:eastAsia="Calibri" w:hAnsi="Times New Roman" w:cs="Times New Roman"/>
          <w:b/>
          <w:noProof/>
          <w:sz w:val="24"/>
          <w:szCs w:val="24"/>
          <w:lang w:eastAsia="ru-RU"/>
        </w:rPr>
        <w:t xml:space="preserve">Рис. 26 - </w:t>
      </w:r>
      <w:r w:rsidRPr="00BF5AA9">
        <w:rPr>
          <w:rFonts w:ascii="Times New Roman" w:eastAsia="Calibri" w:hAnsi="Times New Roman" w:cs="Times New Roman"/>
          <w:b/>
          <w:noProof/>
          <w:sz w:val="24"/>
          <w:szCs w:val="24"/>
          <w:lang w:eastAsia="ru-RU"/>
        </w:rPr>
        <w:t xml:space="preserve">Основные направления расходов по государственной программе </w:t>
      </w:r>
      <w:r w:rsidRPr="00BF5AA9">
        <w:rPr>
          <w:rFonts w:ascii="Times New Roman" w:eastAsia="Times New Roman" w:hAnsi="Times New Roman" w:cs="Times New Roman"/>
          <w:b/>
          <w:sz w:val="24"/>
          <w:szCs w:val="24"/>
          <w:lang w:eastAsia="ru-RU"/>
        </w:rPr>
        <w:t xml:space="preserve">«Развитие здравоохранения Амурской области на 2014-2020 годы» </w:t>
      </w:r>
      <w:r>
        <w:rPr>
          <w:rFonts w:ascii="Times New Roman" w:eastAsia="Calibri" w:hAnsi="Times New Roman" w:cs="Times New Roman"/>
          <w:b/>
          <w:noProof/>
          <w:sz w:val="24"/>
          <w:szCs w:val="24"/>
          <w:lang w:eastAsia="ru-RU"/>
        </w:rPr>
        <w:t>в 2017 году, млн. руб.</w:t>
      </w:r>
    </w:p>
    <w:p w:rsidR="001A4229" w:rsidRDefault="001A4229" w:rsidP="009C45F8">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051B16" w:rsidRDefault="00051B16" w:rsidP="009C45F8">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F07C41" w:rsidRPr="000A2D97" w:rsidRDefault="00F07C41" w:rsidP="00F07C41">
      <w:pPr>
        <w:spacing w:after="0" w:line="240" w:lineRule="auto"/>
        <w:ind w:firstLine="709"/>
        <w:jc w:val="both"/>
        <w:rPr>
          <w:rFonts w:ascii="Times New Roman" w:hAnsi="Times New Roman" w:cs="Times New Roman"/>
          <w:b/>
          <w:sz w:val="24"/>
          <w:szCs w:val="24"/>
        </w:rPr>
      </w:pPr>
      <w:r w:rsidRPr="000A2D97">
        <w:rPr>
          <w:rFonts w:ascii="Times New Roman" w:hAnsi="Times New Roman" w:cs="Times New Roman"/>
          <w:b/>
          <w:sz w:val="24"/>
          <w:szCs w:val="24"/>
        </w:rPr>
        <w:lastRenderedPageBreak/>
        <w:t>5.7. Государственная программа «Обеспечение доступным и качественным жильем населения Амурской области на 2014–2020 годы»</w:t>
      </w:r>
    </w:p>
    <w:p w:rsidR="00F07C41" w:rsidRPr="003225E1"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5E1">
        <w:rPr>
          <w:rFonts w:ascii="Times New Roman" w:eastAsia="Times New Roman" w:hAnsi="Times New Roman" w:cs="Times New Roman"/>
          <w:sz w:val="24"/>
          <w:szCs w:val="24"/>
          <w:lang w:eastAsia="ru-RU"/>
        </w:rPr>
        <w:t xml:space="preserve">Государственная программа «Обеспечение доступным и качественным жильем населения Амурской области на 2014–2020 годы» утверждена постановлением Правительства Амурской области от 25.09.2013 № 446 с объемом ассигнований на </w:t>
      </w:r>
      <w:r w:rsidRPr="003225E1">
        <w:rPr>
          <w:rFonts w:ascii="Times New Roman" w:eastAsia="Times New Roman" w:hAnsi="Times New Roman" w:cs="Times New Roman"/>
          <w:sz w:val="24"/>
          <w:szCs w:val="24"/>
          <w:lang w:eastAsia="ru-RU"/>
        </w:rPr>
        <w:br/>
        <w:t>2017 год в сумме 1661238,9 тыс. рублей.</w:t>
      </w:r>
    </w:p>
    <w:p w:rsidR="00F07C41" w:rsidRPr="003225E1"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5E1">
        <w:rPr>
          <w:rFonts w:ascii="Times New Roman" w:eastAsia="Times New Roman" w:hAnsi="Times New Roman" w:cs="Times New Roman"/>
          <w:sz w:val="24"/>
          <w:szCs w:val="24"/>
          <w:lang w:eastAsia="ru-RU"/>
        </w:rPr>
        <w:t>Координатором государственной программы является министерство транспорта и строительства Амурской области.</w:t>
      </w:r>
    </w:p>
    <w:p w:rsidR="00F07C41" w:rsidRPr="003225E1"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5E1">
        <w:rPr>
          <w:rFonts w:ascii="Times New Roman" w:eastAsia="Times New Roman" w:hAnsi="Times New Roman" w:cs="Times New Roman"/>
          <w:sz w:val="24"/>
          <w:szCs w:val="24"/>
          <w:lang w:eastAsia="ru-RU"/>
        </w:rPr>
        <w:t>Законом Амурской области «Об областном бюджете на 2017 год и плановый период 2018 и 2019 годов» на реализацию государственной программы «Обеспечение доступным и качественным жильем населения Амурской области на 2014–2020 годы» утверждены бюджетные ассигнования в сумме 1650733,0 тыс. рублей.</w:t>
      </w:r>
    </w:p>
    <w:p w:rsidR="00F07C41" w:rsidRPr="00A375B4"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5B4">
        <w:rPr>
          <w:rFonts w:ascii="Times New Roman" w:eastAsia="Times New Roman" w:hAnsi="Times New Roman" w:cs="Times New Roman"/>
          <w:sz w:val="24"/>
          <w:szCs w:val="24"/>
          <w:lang w:eastAsia="ru-RU"/>
        </w:rPr>
        <w:t xml:space="preserve">Отклонение плановых показателей, предусмотренных государственной программой, от плановых показателей, утвержденных законом области об областном бюджете на </w:t>
      </w:r>
      <w:r w:rsidRPr="00A375B4">
        <w:rPr>
          <w:rFonts w:ascii="Times New Roman" w:eastAsia="Times New Roman" w:hAnsi="Times New Roman" w:cs="Times New Roman"/>
          <w:sz w:val="24"/>
          <w:szCs w:val="24"/>
          <w:lang w:eastAsia="ru-RU"/>
        </w:rPr>
        <w:br/>
        <w:t>2017 год в сумме 10505,9 тыс. рублей, связано с тем, что в государственной программе предусмотрены средства федерального бюджета на реализацию мероприятий по обеспечению жильем молодых семей, но не включены в расходную часть закона области об областном бюджете на 2017 год.</w:t>
      </w:r>
    </w:p>
    <w:p w:rsidR="00F07C41"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5B4">
        <w:rPr>
          <w:rFonts w:ascii="Times New Roman" w:eastAsia="Times New Roman" w:hAnsi="Times New Roman" w:cs="Times New Roman"/>
          <w:sz w:val="24"/>
          <w:szCs w:val="24"/>
          <w:lang w:eastAsia="ru-RU"/>
        </w:rPr>
        <w:t>Сводной бюджетной росписью расходов областного бюджета на 2017 год на реализацию программы предусмотрено 1659008,</w:t>
      </w:r>
      <w:r>
        <w:rPr>
          <w:rFonts w:ascii="Times New Roman" w:eastAsia="Times New Roman" w:hAnsi="Times New Roman" w:cs="Times New Roman"/>
          <w:sz w:val="24"/>
          <w:szCs w:val="24"/>
          <w:lang w:eastAsia="ru-RU"/>
        </w:rPr>
        <w:t>8</w:t>
      </w:r>
      <w:r w:rsidRPr="00A375B4">
        <w:rPr>
          <w:rFonts w:ascii="Times New Roman" w:eastAsia="Times New Roman" w:hAnsi="Times New Roman" w:cs="Times New Roman"/>
          <w:sz w:val="24"/>
          <w:szCs w:val="24"/>
          <w:lang w:eastAsia="ru-RU"/>
        </w:rPr>
        <w:t xml:space="preserve"> тыс. рублей, т.е. на 8275,</w:t>
      </w:r>
      <w:r>
        <w:rPr>
          <w:rFonts w:ascii="Times New Roman" w:eastAsia="Times New Roman" w:hAnsi="Times New Roman" w:cs="Times New Roman"/>
          <w:sz w:val="24"/>
          <w:szCs w:val="24"/>
          <w:lang w:eastAsia="ru-RU"/>
        </w:rPr>
        <w:t>8</w:t>
      </w:r>
      <w:r w:rsidRPr="00A375B4">
        <w:rPr>
          <w:rFonts w:ascii="Times New Roman" w:eastAsia="Times New Roman" w:hAnsi="Times New Roman" w:cs="Times New Roman"/>
          <w:sz w:val="24"/>
          <w:szCs w:val="24"/>
          <w:lang w:eastAsia="ru-RU"/>
        </w:rPr>
        <w:t xml:space="preserve"> тыс. рублей больше, чем утверждено законом области об областном бюджете. </w:t>
      </w:r>
    </w:p>
    <w:p w:rsidR="00F07C41" w:rsidRPr="00E97EB6"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EB6">
        <w:rPr>
          <w:rFonts w:ascii="Times New Roman" w:eastAsia="Times New Roman" w:hAnsi="Times New Roman" w:cs="Times New Roman"/>
          <w:sz w:val="24"/>
          <w:szCs w:val="24"/>
          <w:lang w:eastAsia="ru-RU"/>
        </w:rPr>
        <w:t>Увеличение ассигнований бюджетной росписи без внесения изменений в закон области об областном бюджете произведено на средства федерального бюджета, а также увеличены ассигнования на социальное обеспечение населения - выплата компенсации части расходов по уплате процентов по ипотечным кредитам (займам), полученным гражданами на строительство или приобретение жилья на территории Амурской области, и расходов по уплате процентов по ипотечным кредитам (займам) гражданам, пострадавшим от действий (бездействия) застройщиков, по заявлениям которых приняты решения о принятии расходов к компенсации.</w:t>
      </w:r>
    </w:p>
    <w:p w:rsidR="00F07C41" w:rsidRPr="00407EC2"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EC2">
        <w:rPr>
          <w:rFonts w:ascii="Times New Roman" w:eastAsia="Times New Roman" w:hAnsi="Times New Roman" w:cs="Times New Roman"/>
          <w:sz w:val="24"/>
          <w:szCs w:val="24"/>
          <w:lang w:eastAsia="ru-RU"/>
        </w:rPr>
        <w:t>Согласно проекту закона области об исполнении областного бюджета за 2017 год, исполнение бюджетных назначений, предусмотренных на реализацию программы сводной бюджетной росписью расходов, составило 1559131,</w:t>
      </w:r>
      <w:r>
        <w:rPr>
          <w:rFonts w:ascii="Times New Roman" w:eastAsia="Times New Roman" w:hAnsi="Times New Roman" w:cs="Times New Roman"/>
          <w:sz w:val="24"/>
          <w:szCs w:val="24"/>
          <w:lang w:eastAsia="ru-RU"/>
        </w:rPr>
        <w:t>4</w:t>
      </w:r>
      <w:r w:rsidRPr="00407EC2">
        <w:rPr>
          <w:rFonts w:ascii="Times New Roman" w:eastAsia="Times New Roman" w:hAnsi="Times New Roman" w:cs="Times New Roman"/>
          <w:sz w:val="24"/>
          <w:szCs w:val="24"/>
          <w:lang w:eastAsia="ru-RU"/>
        </w:rPr>
        <w:t xml:space="preserve"> тыс. рублей, или 94,0 процента. Объем неисполненных ассигнований составил 99877,</w:t>
      </w:r>
      <w:r>
        <w:rPr>
          <w:rFonts w:ascii="Times New Roman" w:eastAsia="Times New Roman" w:hAnsi="Times New Roman" w:cs="Times New Roman"/>
          <w:sz w:val="24"/>
          <w:szCs w:val="24"/>
          <w:lang w:eastAsia="ru-RU"/>
        </w:rPr>
        <w:t>4</w:t>
      </w:r>
      <w:r w:rsidRPr="00407EC2">
        <w:rPr>
          <w:rFonts w:ascii="Times New Roman" w:eastAsia="Times New Roman" w:hAnsi="Times New Roman" w:cs="Times New Roman"/>
          <w:sz w:val="24"/>
          <w:szCs w:val="24"/>
          <w:lang w:eastAsia="ru-RU"/>
        </w:rPr>
        <w:t xml:space="preserve"> тыс. рублей.</w:t>
      </w:r>
    </w:p>
    <w:p w:rsidR="00F07C41" w:rsidRPr="00407EC2"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7EC2">
        <w:rPr>
          <w:rFonts w:ascii="Times New Roman" w:eastAsia="Times New Roman" w:hAnsi="Times New Roman" w:cs="Times New Roman"/>
          <w:sz w:val="24"/>
          <w:szCs w:val="24"/>
          <w:lang w:eastAsia="ru-RU"/>
        </w:rPr>
        <w:t xml:space="preserve">Государственная программа «Обеспечение доступным и качественным жильем населения Амурской области на 2014–2020 годы» включает </w:t>
      </w:r>
      <w:r>
        <w:rPr>
          <w:rFonts w:ascii="Times New Roman" w:eastAsia="Times New Roman" w:hAnsi="Times New Roman" w:cs="Times New Roman"/>
          <w:sz w:val="24"/>
          <w:szCs w:val="24"/>
          <w:lang w:eastAsia="ru-RU"/>
        </w:rPr>
        <w:t>10</w:t>
      </w:r>
      <w:r w:rsidRPr="00407EC2">
        <w:rPr>
          <w:rFonts w:ascii="Times New Roman" w:eastAsia="Times New Roman" w:hAnsi="Times New Roman" w:cs="Times New Roman"/>
          <w:sz w:val="24"/>
          <w:szCs w:val="24"/>
          <w:lang w:eastAsia="ru-RU"/>
        </w:rPr>
        <w:t xml:space="preserve"> подпрограмм, реализуемых в 2017 году.</w:t>
      </w:r>
    </w:p>
    <w:p w:rsidR="00F07C41" w:rsidRPr="00407EC2" w:rsidRDefault="00F07C41" w:rsidP="00F07C41">
      <w:pPr>
        <w:spacing w:after="0" w:line="240" w:lineRule="auto"/>
        <w:ind w:firstLine="709"/>
        <w:jc w:val="both"/>
        <w:rPr>
          <w:rFonts w:ascii="Times New Roman" w:hAnsi="Times New Roman" w:cs="Times New Roman"/>
          <w:sz w:val="24"/>
          <w:szCs w:val="24"/>
        </w:rPr>
      </w:pPr>
      <w:r w:rsidRPr="00407EC2">
        <w:rPr>
          <w:rFonts w:ascii="Times New Roman" w:hAnsi="Times New Roman" w:cs="Times New Roman"/>
          <w:sz w:val="24"/>
          <w:szCs w:val="24"/>
        </w:rPr>
        <w:t>В таблице</w:t>
      </w:r>
      <w:r>
        <w:rPr>
          <w:rFonts w:ascii="Times New Roman" w:hAnsi="Times New Roman" w:cs="Times New Roman"/>
          <w:sz w:val="24"/>
          <w:szCs w:val="24"/>
        </w:rPr>
        <w:t xml:space="preserve"> 10</w:t>
      </w:r>
      <w:r w:rsidRPr="00407EC2">
        <w:rPr>
          <w:rFonts w:ascii="Times New Roman" w:hAnsi="Times New Roman" w:cs="Times New Roman"/>
          <w:sz w:val="24"/>
          <w:szCs w:val="24"/>
        </w:rPr>
        <w:t xml:space="preserve"> представлена информация об исполнении государственной программы «Обеспечение доступным и качественным жильем населения Амурской области на </w:t>
      </w:r>
      <w:r w:rsidRPr="00407EC2">
        <w:rPr>
          <w:rFonts w:ascii="Times New Roman" w:hAnsi="Times New Roman" w:cs="Times New Roman"/>
          <w:sz w:val="24"/>
          <w:szCs w:val="24"/>
        </w:rPr>
        <w:br/>
        <w:t xml:space="preserve">2014–2020 годы» </w:t>
      </w:r>
      <w:r>
        <w:rPr>
          <w:rFonts w:ascii="Times New Roman" w:hAnsi="Times New Roman" w:cs="Times New Roman"/>
          <w:sz w:val="24"/>
          <w:szCs w:val="24"/>
        </w:rPr>
        <w:t xml:space="preserve">за 2017 год </w:t>
      </w:r>
      <w:r w:rsidRPr="00407EC2">
        <w:rPr>
          <w:rFonts w:ascii="Times New Roman" w:hAnsi="Times New Roman" w:cs="Times New Roman"/>
          <w:sz w:val="24"/>
          <w:szCs w:val="24"/>
        </w:rPr>
        <w:t>в разрезе подпрограмм.</w:t>
      </w:r>
    </w:p>
    <w:p w:rsidR="00F07C41" w:rsidRPr="00407EC2" w:rsidRDefault="00F07C41" w:rsidP="00F07C41">
      <w:pPr>
        <w:spacing w:after="0" w:line="240" w:lineRule="auto"/>
        <w:ind w:firstLine="709"/>
        <w:jc w:val="right"/>
        <w:rPr>
          <w:rFonts w:ascii="Times New Roman" w:hAnsi="Times New Roman" w:cs="Times New Roman"/>
          <w:sz w:val="24"/>
          <w:szCs w:val="24"/>
        </w:rPr>
      </w:pPr>
      <w:r w:rsidRPr="00407EC2">
        <w:rPr>
          <w:rFonts w:ascii="Times New Roman" w:hAnsi="Times New Roman" w:cs="Times New Roman"/>
          <w:sz w:val="24"/>
          <w:szCs w:val="24"/>
        </w:rPr>
        <w:t>Таблица</w:t>
      </w:r>
      <w:r>
        <w:rPr>
          <w:rFonts w:ascii="Times New Roman" w:hAnsi="Times New Roman" w:cs="Times New Roman"/>
          <w:sz w:val="24"/>
          <w:szCs w:val="24"/>
        </w:rPr>
        <w:t xml:space="preserve"> 10</w:t>
      </w:r>
    </w:p>
    <w:p w:rsidR="00F07C41" w:rsidRPr="005A6E37" w:rsidRDefault="00F07C41" w:rsidP="00F07C41">
      <w:pPr>
        <w:spacing w:after="0" w:line="240" w:lineRule="auto"/>
        <w:ind w:firstLine="709"/>
        <w:jc w:val="center"/>
        <w:rPr>
          <w:rFonts w:ascii="Times New Roman" w:hAnsi="Times New Roman" w:cs="Times New Roman"/>
          <w:b/>
          <w:sz w:val="24"/>
          <w:szCs w:val="24"/>
        </w:rPr>
      </w:pPr>
      <w:r w:rsidRPr="005A6E37">
        <w:rPr>
          <w:rFonts w:ascii="Times New Roman" w:hAnsi="Times New Roman" w:cs="Times New Roman"/>
          <w:b/>
          <w:sz w:val="24"/>
          <w:szCs w:val="24"/>
        </w:rPr>
        <w:t>Информация об исполнении государственной программы «Обеспечение доступным и качественным жильем населения Амурской области на 2014–2020 годы»</w:t>
      </w:r>
    </w:p>
    <w:p w:rsidR="00F07C41" w:rsidRDefault="00F07C41" w:rsidP="00F07C41">
      <w:pPr>
        <w:spacing w:after="0" w:line="240" w:lineRule="auto"/>
        <w:ind w:firstLine="709"/>
        <w:jc w:val="right"/>
        <w:rPr>
          <w:rFonts w:ascii="Times New Roman" w:hAnsi="Times New Roman" w:cs="Times New Roman"/>
          <w:sz w:val="24"/>
          <w:szCs w:val="24"/>
        </w:rPr>
      </w:pPr>
      <w:r w:rsidRPr="00407EC2">
        <w:rPr>
          <w:rFonts w:ascii="Times New Roman" w:hAnsi="Times New Roman" w:cs="Times New Roman"/>
          <w:sz w:val="24"/>
          <w:szCs w:val="24"/>
        </w:rPr>
        <w:t>тыс. рублей</w:t>
      </w:r>
    </w:p>
    <w:tbl>
      <w:tblPr>
        <w:tblStyle w:val="a6"/>
        <w:tblW w:w="0" w:type="auto"/>
        <w:tblLook w:val="04A0" w:firstRow="1" w:lastRow="0" w:firstColumn="1" w:lastColumn="0" w:noHBand="0" w:noVBand="1"/>
      </w:tblPr>
      <w:tblGrid>
        <w:gridCol w:w="4219"/>
        <w:gridCol w:w="1372"/>
        <w:gridCol w:w="1533"/>
        <w:gridCol w:w="1298"/>
        <w:gridCol w:w="1431"/>
      </w:tblGrid>
      <w:tr w:rsidR="00F07C41" w:rsidRPr="00806EEA" w:rsidTr="00F07C41">
        <w:trPr>
          <w:trHeight w:val="856"/>
          <w:tblHeader/>
        </w:trPr>
        <w:tc>
          <w:tcPr>
            <w:tcW w:w="4219" w:type="dxa"/>
            <w:hideMark/>
          </w:tcPr>
          <w:p w:rsidR="00F07C41" w:rsidRPr="00806EEA" w:rsidRDefault="00F07C41" w:rsidP="00F07C41">
            <w:pPr>
              <w:jc w:val="center"/>
              <w:rPr>
                <w:sz w:val="24"/>
                <w:szCs w:val="24"/>
              </w:rPr>
            </w:pPr>
            <w:r w:rsidRPr="00806EEA">
              <w:rPr>
                <w:sz w:val="24"/>
                <w:szCs w:val="24"/>
              </w:rPr>
              <w:t>Наименование государственной программы/подпрограммы</w:t>
            </w:r>
          </w:p>
        </w:tc>
        <w:tc>
          <w:tcPr>
            <w:tcW w:w="1372" w:type="dxa"/>
            <w:hideMark/>
          </w:tcPr>
          <w:p w:rsidR="00F07C41" w:rsidRPr="00806EEA" w:rsidRDefault="00F07C41" w:rsidP="00F07C41">
            <w:pPr>
              <w:jc w:val="center"/>
              <w:rPr>
                <w:sz w:val="24"/>
                <w:szCs w:val="24"/>
              </w:rPr>
            </w:pPr>
            <w:r w:rsidRPr="00806EEA">
              <w:rPr>
                <w:sz w:val="24"/>
                <w:szCs w:val="24"/>
              </w:rPr>
              <w:t>План</w:t>
            </w:r>
          </w:p>
        </w:tc>
        <w:tc>
          <w:tcPr>
            <w:tcW w:w="1533" w:type="dxa"/>
            <w:hideMark/>
          </w:tcPr>
          <w:p w:rsidR="00F07C41" w:rsidRPr="00806EEA" w:rsidRDefault="00F07C41" w:rsidP="00F07C41">
            <w:pPr>
              <w:jc w:val="center"/>
              <w:rPr>
                <w:sz w:val="24"/>
                <w:szCs w:val="24"/>
              </w:rPr>
            </w:pPr>
            <w:r w:rsidRPr="00806EEA">
              <w:rPr>
                <w:sz w:val="24"/>
                <w:szCs w:val="24"/>
              </w:rPr>
              <w:t>Исполнение</w:t>
            </w:r>
          </w:p>
        </w:tc>
        <w:tc>
          <w:tcPr>
            <w:tcW w:w="1298" w:type="dxa"/>
            <w:hideMark/>
          </w:tcPr>
          <w:p w:rsidR="00F07C41" w:rsidRPr="00806EEA" w:rsidRDefault="00F07C41" w:rsidP="00F07C41">
            <w:pPr>
              <w:jc w:val="center"/>
              <w:rPr>
                <w:sz w:val="24"/>
                <w:szCs w:val="24"/>
              </w:rPr>
            </w:pPr>
            <w:r w:rsidRPr="00806EEA">
              <w:rPr>
                <w:sz w:val="24"/>
                <w:szCs w:val="24"/>
              </w:rPr>
              <w:t>Уровень исполне-ния</w:t>
            </w:r>
          </w:p>
        </w:tc>
        <w:tc>
          <w:tcPr>
            <w:tcW w:w="1431" w:type="dxa"/>
            <w:hideMark/>
          </w:tcPr>
          <w:p w:rsidR="00F07C41" w:rsidRPr="00806EEA" w:rsidRDefault="00F07C41" w:rsidP="00F07C41">
            <w:pPr>
              <w:jc w:val="center"/>
              <w:rPr>
                <w:sz w:val="24"/>
                <w:szCs w:val="24"/>
              </w:rPr>
            </w:pPr>
            <w:r w:rsidRPr="00806EEA">
              <w:rPr>
                <w:sz w:val="24"/>
                <w:szCs w:val="24"/>
              </w:rPr>
              <w:t>Не исполнено</w:t>
            </w:r>
          </w:p>
        </w:tc>
      </w:tr>
      <w:tr w:rsidR="00F07C41" w:rsidRPr="00806EEA" w:rsidTr="00F07C41">
        <w:trPr>
          <w:trHeight w:val="1407"/>
        </w:trPr>
        <w:tc>
          <w:tcPr>
            <w:tcW w:w="4219" w:type="dxa"/>
            <w:hideMark/>
          </w:tcPr>
          <w:p w:rsidR="00F07C41" w:rsidRPr="00806EEA" w:rsidRDefault="00F07C41" w:rsidP="00F07C41">
            <w:pPr>
              <w:rPr>
                <w:b/>
                <w:bCs/>
                <w:sz w:val="24"/>
                <w:szCs w:val="24"/>
              </w:rPr>
            </w:pPr>
            <w:r w:rsidRPr="00806EEA">
              <w:rPr>
                <w:b/>
                <w:bCs/>
                <w:sz w:val="24"/>
                <w:szCs w:val="24"/>
              </w:rPr>
              <w:t>Государственная программа «Обеспечение доступным и качественным жильем населения Амурской области на 2014-2020 годы»</w:t>
            </w:r>
          </w:p>
        </w:tc>
        <w:tc>
          <w:tcPr>
            <w:tcW w:w="1372" w:type="dxa"/>
            <w:hideMark/>
          </w:tcPr>
          <w:p w:rsidR="00F07C41" w:rsidRPr="00806EEA" w:rsidRDefault="00F07C41" w:rsidP="00F07C41">
            <w:pPr>
              <w:jc w:val="center"/>
              <w:rPr>
                <w:b/>
                <w:bCs/>
                <w:sz w:val="24"/>
                <w:szCs w:val="24"/>
              </w:rPr>
            </w:pPr>
            <w:r>
              <w:rPr>
                <w:b/>
                <w:bCs/>
                <w:sz w:val="24"/>
                <w:szCs w:val="24"/>
              </w:rPr>
              <w:t>1 659 008,8</w:t>
            </w:r>
          </w:p>
        </w:tc>
        <w:tc>
          <w:tcPr>
            <w:tcW w:w="1533" w:type="dxa"/>
            <w:hideMark/>
          </w:tcPr>
          <w:p w:rsidR="00F07C41" w:rsidRPr="00806EEA" w:rsidRDefault="00F07C41" w:rsidP="00F07C41">
            <w:pPr>
              <w:jc w:val="center"/>
              <w:rPr>
                <w:b/>
                <w:bCs/>
                <w:sz w:val="24"/>
                <w:szCs w:val="24"/>
              </w:rPr>
            </w:pPr>
            <w:r>
              <w:rPr>
                <w:b/>
                <w:bCs/>
                <w:sz w:val="24"/>
                <w:szCs w:val="24"/>
              </w:rPr>
              <w:t>1 559 131,4</w:t>
            </w:r>
          </w:p>
        </w:tc>
        <w:tc>
          <w:tcPr>
            <w:tcW w:w="1298" w:type="dxa"/>
            <w:hideMark/>
          </w:tcPr>
          <w:p w:rsidR="00F07C41" w:rsidRPr="00806EEA" w:rsidRDefault="00F07C41" w:rsidP="00F07C41">
            <w:pPr>
              <w:jc w:val="center"/>
              <w:rPr>
                <w:b/>
                <w:bCs/>
                <w:sz w:val="24"/>
                <w:szCs w:val="24"/>
              </w:rPr>
            </w:pPr>
            <w:r w:rsidRPr="00806EEA">
              <w:rPr>
                <w:b/>
                <w:bCs/>
                <w:sz w:val="24"/>
                <w:szCs w:val="24"/>
              </w:rPr>
              <w:t>94,0</w:t>
            </w:r>
          </w:p>
        </w:tc>
        <w:tc>
          <w:tcPr>
            <w:tcW w:w="1431" w:type="dxa"/>
            <w:hideMark/>
          </w:tcPr>
          <w:p w:rsidR="00F07C41" w:rsidRPr="00806EEA" w:rsidRDefault="00F07C41" w:rsidP="00F07C41">
            <w:pPr>
              <w:jc w:val="center"/>
              <w:rPr>
                <w:b/>
                <w:bCs/>
                <w:sz w:val="24"/>
                <w:szCs w:val="24"/>
              </w:rPr>
            </w:pPr>
            <w:r>
              <w:rPr>
                <w:b/>
                <w:bCs/>
                <w:sz w:val="24"/>
                <w:szCs w:val="24"/>
              </w:rPr>
              <w:t>99 877,4</w:t>
            </w:r>
          </w:p>
        </w:tc>
      </w:tr>
      <w:tr w:rsidR="00F07C41" w:rsidRPr="00806EEA" w:rsidTr="00F07C41">
        <w:trPr>
          <w:trHeight w:val="1129"/>
        </w:trPr>
        <w:tc>
          <w:tcPr>
            <w:tcW w:w="4219" w:type="dxa"/>
            <w:hideMark/>
          </w:tcPr>
          <w:p w:rsidR="00F07C41" w:rsidRPr="00806EEA" w:rsidRDefault="00F07C41" w:rsidP="00F07C41">
            <w:pPr>
              <w:rPr>
                <w:sz w:val="24"/>
                <w:szCs w:val="24"/>
              </w:rPr>
            </w:pPr>
            <w:r w:rsidRPr="00806EEA">
              <w:rPr>
                <w:sz w:val="24"/>
                <w:szCs w:val="24"/>
              </w:rPr>
              <w:lastRenderedPageBreak/>
              <w:t>Подпрограмма «Повышение устойчивости жилых домов, основных объектов и систем жизнеобеспечения в сейсмических районах области»</w:t>
            </w:r>
          </w:p>
        </w:tc>
        <w:tc>
          <w:tcPr>
            <w:tcW w:w="1372" w:type="dxa"/>
            <w:hideMark/>
          </w:tcPr>
          <w:p w:rsidR="00F07C41" w:rsidRPr="00806EEA" w:rsidRDefault="00F07C41" w:rsidP="00F07C41">
            <w:pPr>
              <w:jc w:val="center"/>
              <w:rPr>
                <w:sz w:val="24"/>
                <w:szCs w:val="24"/>
              </w:rPr>
            </w:pPr>
            <w:r>
              <w:rPr>
                <w:sz w:val="24"/>
                <w:szCs w:val="24"/>
              </w:rPr>
              <w:t>16 091,8</w:t>
            </w:r>
          </w:p>
        </w:tc>
        <w:tc>
          <w:tcPr>
            <w:tcW w:w="1533" w:type="dxa"/>
            <w:hideMark/>
          </w:tcPr>
          <w:p w:rsidR="00F07C41" w:rsidRPr="00806EEA" w:rsidRDefault="00F07C41" w:rsidP="00F07C41">
            <w:pPr>
              <w:jc w:val="center"/>
              <w:rPr>
                <w:sz w:val="24"/>
                <w:szCs w:val="24"/>
              </w:rPr>
            </w:pPr>
            <w:r>
              <w:rPr>
                <w:sz w:val="24"/>
                <w:szCs w:val="24"/>
              </w:rPr>
              <w:t>16 091,8</w:t>
            </w:r>
          </w:p>
        </w:tc>
        <w:tc>
          <w:tcPr>
            <w:tcW w:w="1298" w:type="dxa"/>
            <w:hideMark/>
          </w:tcPr>
          <w:p w:rsidR="00F07C41" w:rsidRPr="00806EEA" w:rsidRDefault="00F07C41" w:rsidP="00F07C41">
            <w:pPr>
              <w:jc w:val="center"/>
              <w:rPr>
                <w:sz w:val="24"/>
                <w:szCs w:val="24"/>
              </w:rPr>
            </w:pPr>
            <w:r w:rsidRPr="00806EEA">
              <w:rPr>
                <w:sz w:val="24"/>
                <w:szCs w:val="24"/>
              </w:rPr>
              <w:t>100,0</w:t>
            </w:r>
          </w:p>
        </w:tc>
        <w:tc>
          <w:tcPr>
            <w:tcW w:w="1431" w:type="dxa"/>
            <w:hideMark/>
          </w:tcPr>
          <w:p w:rsidR="00F07C41" w:rsidRPr="00806EEA" w:rsidRDefault="00F07C41" w:rsidP="00F07C41">
            <w:pPr>
              <w:jc w:val="center"/>
              <w:rPr>
                <w:sz w:val="24"/>
                <w:szCs w:val="24"/>
              </w:rPr>
            </w:pPr>
            <w:r w:rsidRPr="00806EEA">
              <w:rPr>
                <w:sz w:val="24"/>
                <w:szCs w:val="24"/>
              </w:rPr>
              <w:t>0,0</w:t>
            </w:r>
          </w:p>
        </w:tc>
      </w:tr>
      <w:tr w:rsidR="00F07C41" w:rsidRPr="00806EEA" w:rsidTr="00F07C41">
        <w:trPr>
          <w:trHeight w:val="2528"/>
        </w:trPr>
        <w:tc>
          <w:tcPr>
            <w:tcW w:w="4219" w:type="dxa"/>
            <w:hideMark/>
          </w:tcPr>
          <w:p w:rsidR="00F07C41" w:rsidRPr="00806EEA" w:rsidRDefault="00F07C41" w:rsidP="00F07C41">
            <w:pPr>
              <w:rPr>
                <w:sz w:val="24"/>
                <w:szCs w:val="24"/>
              </w:rPr>
            </w:pPr>
            <w:r w:rsidRPr="00806EEA">
              <w:rPr>
                <w:sz w:val="24"/>
                <w:szCs w:val="24"/>
              </w:rPr>
              <w:t xml:space="preserve">Подпрограмма </w:t>
            </w:r>
            <w:r>
              <w:rPr>
                <w:sz w:val="24"/>
                <w:szCs w:val="24"/>
              </w:rPr>
              <w:t>«</w:t>
            </w:r>
            <w:r w:rsidRPr="00806EEA">
              <w:rPr>
                <w:sz w:val="24"/>
                <w:szCs w:val="24"/>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r>
              <w:rPr>
                <w:sz w:val="24"/>
                <w:szCs w:val="24"/>
              </w:rPr>
              <w:t>»</w:t>
            </w:r>
          </w:p>
        </w:tc>
        <w:tc>
          <w:tcPr>
            <w:tcW w:w="1372" w:type="dxa"/>
            <w:vAlign w:val="bottom"/>
            <w:hideMark/>
          </w:tcPr>
          <w:p w:rsidR="00F07C41" w:rsidRPr="00806EEA" w:rsidRDefault="00F07C41" w:rsidP="00F07C41">
            <w:pPr>
              <w:jc w:val="center"/>
              <w:rPr>
                <w:sz w:val="24"/>
                <w:szCs w:val="24"/>
              </w:rPr>
            </w:pPr>
            <w:r w:rsidRPr="00806EEA">
              <w:rPr>
                <w:sz w:val="24"/>
                <w:szCs w:val="24"/>
              </w:rPr>
              <w:t>192 260,0</w:t>
            </w:r>
          </w:p>
        </w:tc>
        <w:tc>
          <w:tcPr>
            <w:tcW w:w="1533" w:type="dxa"/>
            <w:vAlign w:val="bottom"/>
            <w:hideMark/>
          </w:tcPr>
          <w:p w:rsidR="00F07C41" w:rsidRPr="00806EEA" w:rsidRDefault="00F07C41" w:rsidP="00F07C41">
            <w:pPr>
              <w:jc w:val="center"/>
              <w:rPr>
                <w:sz w:val="24"/>
                <w:szCs w:val="24"/>
              </w:rPr>
            </w:pPr>
            <w:r>
              <w:rPr>
                <w:sz w:val="24"/>
                <w:szCs w:val="24"/>
              </w:rPr>
              <w:t>192 259,9</w:t>
            </w:r>
          </w:p>
        </w:tc>
        <w:tc>
          <w:tcPr>
            <w:tcW w:w="1298" w:type="dxa"/>
            <w:vAlign w:val="bottom"/>
            <w:hideMark/>
          </w:tcPr>
          <w:p w:rsidR="00F07C41" w:rsidRPr="00806EEA" w:rsidRDefault="00F07C41" w:rsidP="00F07C41">
            <w:pPr>
              <w:jc w:val="center"/>
              <w:rPr>
                <w:sz w:val="24"/>
                <w:szCs w:val="24"/>
              </w:rPr>
            </w:pPr>
            <w:r w:rsidRPr="00806EEA">
              <w:rPr>
                <w:sz w:val="24"/>
                <w:szCs w:val="24"/>
              </w:rPr>
              <w:t>100,0</w:t>
            </w:r>
          </w:p>
        </w:tc>
        <w:tc>
          <w:tcPr>
            <w:tcW w:w="1431" w:type="dxa"/>
            <w:vAlign w:val="bottom"/>
            <w:hideMark/>
          </w:tcPr>
          <w:p w:rsidR="00F07C41" w:rsidRPr="00806EEA" w:rsidRDefault="00F07C41" w:rsidP="00F07C41">
            <w:pPr>
              <w:jc w:val="center"/>
              <w:rPr>
                <w:sz w:val="24"/>
                <w:szCs w:val="24"/>
              </w:rPr>
            </w:pPr>
            <w:r w:rsidRPr="00806EEA">
              <w:rPr>
                <w:sz w:val="24"/>
                <w:szCs w:val="24"/>
              </w:rPr>
              <w:t>0,1</w:t>
            </w:r>
          </w:p>
        </w:tc>
      </w:tr>
      <w:tr w:rsidR="00F07C41" w:rsidRPr="00806EEA" w:rsidTr="00F07C41">
        <w:trPr>
          <w:trHeight w:val="564"/>
        </w:trPr>
        <w:tc>
          <w:tcPr>
            <w:tcW w:w="4219" w:type="dxa"/>
            <w:hideMark/>
          </w:tcPr>
          <w:p w:rsidR="00F07C41" w:rsidRPr="00806EEA" w:rsidRDefault="00F07C41" w:rsidP="00F07C41">
            <w:pPr>
              <w:rPr>
                <w:sz w:val="24"/>
                <w:szCs w:val="24"/>
              </w:rPr>
            </w:pPr>
            <w:r w:rsidRPr="00806EEA">
              <w:rPr>
                <w:sz w:val="24"/>
                <w:szCs w:val="24"/>
              </w:rPr>
              <w:t>Подпрограмма «Обеспечение жильем молодых семей»</w:t>
            </w:r>
          </w:p>
        </w:tc>
        <w:tc>
          <w:tcPr>
            <w:tcW w:w="1372" w:type="dxa"/>
            <w:vAlign w:val="bottom"/>
            <w:hideMark/>
          </w:tcPr>
          <w:p w:rsidR="00F07C41" w:rsidRPr="00806EEA" w:rsidRDefault="00F07C41" w:rsidP="00F07C41">
            <w:pPr>
              <w:jc w:val="center"/>
              <w:rPr>
                <w:sz w:val="24"/>
                <w:szCs w:val="24"/>
              </w:rPr>
            </w:pPr>
            <w:r w:rsidRPr="00806EEA">
              <w:rPr>
                <w:sz w:val="24"/>
                <w:szCs w:val="24"/>
              </w:rPr>
              <w:t>20 58</w:t>
            </w:r>
            <w:r>
              <w:rPr>
                <w:sz w:val="24"/>
                <w:szCs w:val="24"/>
              </w:rPr>
              <w:t>6</w:t>
            </w:r>
            <w:r w:rsidRPr="00806EEA">
              <w:rPr>
                <w:sz w:val="24"/>
                <w:szCs w:val="24"/>
              </w:rPr>
              <w:t>,</w:t>
            </w:r>
            <w:r>
              <w:rPr>
                <w:sz w:val="24"/>
                <w:szCs w:val="24"/>
              </w:rPr>
              <w:t>9</w:t>
            </w:r>
          </w:p>
        </w:tc>
        <w:tc>
          <w:tcPr>
            <w:tcW w:w="1533" w:type="dxa"/>
            <w:vAlign w:val="bottom"/>
            <w:hideMark/>
          </w:tcPr>
          <w:p w:rsidR="00F07C41" w:rsidRPr="00806EEA" w:rsidRDefault="00F07C41" w:rsidP="00F07C41">
            <w:pPr>
              <w:jc w:val="center"/>
              <w:rPr>
                <w:sz w:val="24"/>
                <w:szCs w:val="24"/>
              </w:rPr>
            </w:pPr>
            <w:r w:rsidRPr="00806EEA">
              <w:rPr>
                <w:sz w:val="24"/>
                <w:szCs w:val="24"/>
              </w:rPr>
              <w:t>20</w:t>
            </w:r>
            <w:r>
              <w:rPr>
                <w:sz w:val="24"/>
                <w:szCs w:val="24"/>
              </w:rPr>
              <w:t xml:space="preserve"> 186,5</w:t>
            </w:r>
          </w:p>
        </w:tc>
        <w:tc>
          <w:tcPr>
            <w:tcW w:w="1298" w:type="dxa"/>
            <w:vAlign w:val="bottom"/>
            <w:hideMark/>
          </w:tcPr>
          <w:p w:rsidR="00F07C41" w:rsidRPr="00806EEA" w:rsidRDefault="00F07C41" w:rsidP="00F07C41">
            <w:pPr>
              <w:jc w:val="center"/>
              <w:rPr>
                <w:sz w:val="24"/>
                <w:szCs w:val="24"/>
              </w:rPr>
            </w:pPr>
            <w:r w:rsidRPr="00806EEA">
              <w:rPr>
                <w:sz w:val="24"/>
                <w:szCs w:val="24"/>
              </w:rPr>
              <w:t>98,1</w:t>
            </w:r>
          </w:p>
        </w:tc>
        <w:tc>
          <w:tcPr>
            <w:tcW w:w="1431" w:type="dxa"/>
            <w:vAlign w:val="bottom"/>
            <w:hideMark/>
          </w:tcPr>
          <w:p w:rsidR="00F07C41" w:rsidRPr="00806EEA" w:rsidRDefault="00F07C41" w:rsidP="00F07C41">
            <w:pPr>
              <w:jc w:val="center"/>
              <w:rPr>
                <w:sz w:val="24"/>
                <w:szCs w:val="24"/>
              </w:rPr>
            </w:pPr>
            <w:r>
              <w:rPr>
                <w:sz w:val="24"/>
                <w:szCs w:val="24"/>
              </w:rPr>
              <w:t>400,4</w:t>
            </w:r>
          </w:p>
        </w:tc>
      </w:tr>
      <w:tr w:rsidR="00F07C41" w:rsidRPr="00806EEA" w:rsidTr="00F07C41">
        <w:trPr>
          <w:trHeight w:val="1395"/>
        </w:trPr>
        <w:tc>
          <w:tcPr>
            <w:tcW w:w="4219" w:type="dxa"/>
            <w:hideMark/>
          </w:tcPr>
          <w:p w:rsidR="00F07C41" w:rsidRPr="00806EEA" w:rsidRDefault="00F07C41" w:rsidP="00F07C41">
            <w:pPr>
              <w:rPr>
                <w:sz w:val="24"/>
                <w:szCs w:val="24"/>
              </w:rPr>
            </w:pPr>
            <w:r w:rsidRPr="00806EEA">
              <w:rPr>
                <w:sz w:val="24"/>
                <w:szCs w:val="24"/>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tc>
        <w:tc>
          <w:tcPr>
            <w:tcW w:w="1372" w:type="dxa"/>
            <w:vAlign w:val="bottom"/>
            <w:hideMark/>
          </w:tcPr>
          <w:p w:rsidR="00F07C41" w:rsidRPr="00806EEA" w:rsidRDefault="00F07C41" w:rsidP="00F07C41">
            <w:pPr>
              <w:jc w:val="center"/>
              <w:rPr>
                <w:sz w:val="24"/>
                <w:szCs w:val="24"/>
              </w:rPr>
            </w:pPr>
            <w:r w:rsidRPr="00806EEA">
              <w:rPr>
                <w:sz w:val="24"/>
                <w:szCs w:val="24"/>
              </w:rPr>
              <w:t>696</w:t>
            </w:r>
            <w:r>
              <w:rPr>
                <w:sz w:val="24"/>
                <w:szCs w:val="24"/>
              </w:rPr>
              <w:t xml:space="preserve"> 528,6</w:t>
            </w:r>
          </w:p>
        </w:tc>
        <w:tc>
          <w:tcPr>
            <w:tcW w:w="1533" w:type="dxa"/>
            <w:vAlign w:val="bottom"/>
            <w:hideMark/>
          </w:tcPr>
          <w:p w:rsidR="00F07C41" w:rsidRPr="00806EEA" w:rsidRDefault="00F07C41" w:rsidP="00F07C41">
            <w:pPr>
              <w:jc w:val="center"/>
              <w:rPr>
                <w:sz w:val="24"/>
                <w:szCs w:val="24"/>
              </w:rPr>
            </w:pPr>
            <w:r w:rsidRPr="00806EEA">
              <w:rPr>
                <w:sz w:val="24"/>
                <w:szCs w:val="24"/>
              </w:rPr>
              <w:t>612</w:t>
            </w:r>
            <w:r>
              <w:rPr>
                <w:sz w:val="24"/>
                <w:szCs w:val="24"/>
              </w:rPr>
              <w:t xml:space="preserve"> </w:t>
            </w:r>
            <w:r w:rsidRPr="00806EEA">
              <w:rPr>
                <w:sz w:val="24"/>
                <w:szCs w:val="24"/>
              </w:rPr>
              <w:t>092,0</w:t>
            </w:r>
          </w:p>
        </w:tc>
        <w:tc>
          <w:tcPr>
            <w:tcW w:w="1298" w:type="dxa"/>
            <w:vAlign w:val="bottom"/>
            <w:hideMark/>
          </w:tcPr>
          <w:p w:rsidR="00F07C41" w:rsidRPr="00806EEA" w:rsidRDefault="00F07C41" w:rsidP="00F07C41">
            <w:pPr>
              <w:jc w:val="center"/>
              <w:rPr>
                <w:sz w:val="24"/>
                <w:szCs w:val="24"/>
              </w:rPr>
            </w:pPr>
            <w:r w:rsidRPr="00806EEA">
              <w:rPr>
                <w:sz w:val="24"/>
                <w:szCs w:val="24"/>
              </w:rPr>
              <w:t>87,9</w:t>
            </w:r>
          </w:p>
        </w:tc>
        <w:tc>
          <w:tcPr>
            <w:tcW w:w="1431" w:type="dxa"/>
            <w:vAlign w:val="bottom"/>
            <w:hideMark/>
          </w:tcPr>
          <w:p w:rsidR="00F07C41" w:rsidRPr="00806EEA" w:rsidRDefault="00F07C41" w:rsidP="00F07C41">
            <w:pPr>
              <w:jc w:val="center"/>
              <w:rPr>
                <w:sz w:val="24"/>
                <w:szCs w:val="24"/>
              </w:rPr>
            </w:pPr>
            <w:r w:rsidRPr="00806EEA">
              <w:rPr>
                <w:sz w:val="24"/>
                <w:szCs w:val="24"/>
              </w:rPr>
              <w:t>84 436,</w:t>
            </w:r>
            <w:r>
              <w:rPr>
                <w:sz w:val="24"/>
                <w:szCs w:val="24"/>
              </w:rPr>
              <w:t>6</w:t>
            </w:r>
          </w:p>
        </w:tc>
      </w:tr>
      <w:tr w:rsidR="00F07C41" w:rsidRPr="00806EEA" w:rsidTr="00F07C41">
        <w:trPr>
          <w:trHeight w:val="1125"/>
        </w:trPr>
        <w:tc>
          <w:tcPr>
            <w:tcW w:w="4219" w:type="dxa"/>
            <w:hideMark/>
          </w:tcPr>
          <w:p w:rsidR="00F07C41" w:rsidRPr="00806EEA" w:rsidRDefault="00F07C41" w:rsidP="00F07C41">
            <w:pPr>
              <w:rPr>
                <w:sz w:val="24"/>
                <w:szCs w:val="24"/>
              </w:rPr>
            </w:pPr>
            <w:r w:rsidRPr="00806EEA">
              <w:rPr>
                <w:sz w:val="24"/>
                <w:szCs w:val="24"/>
              </w:rPr>
              <w:t>Подпрограмма «Улучшение жилищных условий отдельных категорий граждан, проживающих на территории области»</w:t>
            </w:r>
          </w:p>
        </w:tc>
        <w:tc>
          <w:tcPr>
            <w:tcW w:w="1372" w:type="dxa"/>
            <w:vAlign w:val="bottom"/>
            <w:hideMark/>
          </w:tcPr>
          <w:p w:rsidR="00F07C41" w:rsidRPr="00806EEA" w:rsidRDefault="00F07C41" w:rsidP="00F07C41">
            <w:pPr>
              <w:jc w:val="center"/>
              <w:rPr>
                <w:sz w:val="24"/>
                <w:szCs w:val="24"/>
              </w:rPr>
            </w:pPr>
            <w:r w:rsidRPr="00806EEA">
              <w:rPr>
                <w:sz w:val="24"/>
                <w:szCs w:val="24"/>
              </w:rPr>
              <w:t>127 246,0</w:t>
            </w:r>
          </w:p>
        </w:tc>
        <w:tc>
          <w:tcPr>
            <w:tcW w:w="1533" w:type="dxa"/>
            <w:vAlign w:val="bottom"/>
            <w:hideMark/>
          </w:tcPr>
          <w:p w:rsidR="00F07C41" w:rsidRPr="00806EEA" w:rsidRDefault="00F07C41" w:rsidP="00F07C41">
            <w:pPr>
              <w:jc w:val="center"/>
              <w:rPr>
                <w:sz w:val="24"/>
                <w:szCs w:val="24"/>
              </w:rPr>
            </w:pPr>
            <w:r w:rsidRPr="00806EEA">
              <w:rPr>
                <w:sz w:val="24"/>
                <w:szCs w:val="24"/>
              </w:rPr>
              <w:t>120</w:t>
            </w:r>
            <w:r>
              <w:rPr>
                <w:sz w:val="24"/>
                <w:szCs w:val="24"/>
              </w:rPr>
              <w:t xml:space="preserve"> </w:t>
            </w:r>
            <w:r w:rsidRPr="00806EEA">
              <w:rPr>
                <w:sz w:val="24"/>
                <w:szCs w:val="24"/>
              </w:rPr>
              <w:t>982,</w:t>
            </w:r>
            <w:r>
              <w:rPr>
                <w:sz w:val="24"/>
                <w:szCs w:val="24"/>
              </w:rPr>
              <w:t>6</w:t>
            </w:r>
          </w:p>
        </w:tc>
        <w:tc>
          <w:tcPr>
            <w:tcW w:w="1298" w:type="dxa"/>
            <w:vAlign w:val="bottom"/>
            <w:hideMark/>
          </w:tcPr>
          <w:p w:rsidR="00F07C41" w:rsidRPr="00806EEA" w:rsidRDefault="00F07C41" w:rsidP="00F07C41">
            <w:pPr>
              <w:jc w:val="center"/>
              <w:rPr>
                <w:sz w:val="24"/>
                <w:szCs w:val="24"/>
              </w:rPr>
            </w:pPr>
            <w:r w:rsidRPr="00806EEA">
              <w:rPr>
                <w:sz w:val="24"/>
                <w:szCs w:val="24"/>
              </w:rPr>
              <w:t>95,1</w:t>
            </w:r>
          </w:p>
        </w:tc>
        <w:tc>
          <w:tcPr>
            <w:tcW w:w="1431" w:type="dxa"/>
            <w:vAlign w:val="bottom"/>
            <w:hideMark/>
          </w:tcPr>
          <w:p w:rsidR="00F07C41" w:rsidRPr="00806EEA" w:rsidRDefault="00F07C41" w:rsidP="00F07C41">
            <w:pPr>
              <w:jc w:val="center"/>
              <w:rPr>
                <w:sz w:val="24"/>
                <w:szCs w:val="24"/>
              </w:rPr>
            </w:pPr>
            <w:r>
              <w:rPr>
                <w:sz w:val="24"/>
                <w:szCs w:val="24"/>
              </w:rPr>
              <w:t>6 263,4</w:t>
            </w:r>
          </w:p>
        </w:tc>
      </w:tr>
      <w:tr w:rsidR="00F07C41" w:rsidRPr="00806EEA" w:rsidTr="00F07C41">
        <w:trPr>
          <w:trHeight w:val="1694"/>
        </w:trPr>
        <w:tc>
          <w:tcPr>
            <w:tcW w:w="4219" w:type="dxa"/>
            <w:hideMark/>
          </w:tcPr>
          <w:p w:rsidR="00F07C41" w:rsidRPr="00806EEA" w:rsidRDefault="00F07C41" w:rsidP="00F07C41">
            <w:pPr>
              <w:rPr>
                <w:sz w:val="24"/>
                <w:szCs w:val="24"/>
              </w:rPr>
            </w:pPr>
            <w:r w:rsidRPr="00806EEA">
              <w:rPr>
                <w:sz w:val="24"/>
                <w:szCs w:val="24"/>
              </w:rPr>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372" w:type="dxa"/>
            <w:vAlign w:val="bottom"/>
            <w:hideMark/>
          </w:tcPr>
          <w:p w:rsidR="00F07C41" w:rsidRPr="00806EEA" w:rsidRDefault="00F07C41" w:rsidP="00F07C41">
            <w:pPr>
              <w:jc w:val="center"/>
              <w:rPr>
                <w:sz w:val="24"/>
                <w:szCs w:val="24"/>
              </w:rPr>
            </w:pPr>
            <w:r w:rsidRPr="00806EEA">
              <w:rPr>
                <w:sz w:val="24"/>
                <w:szCs w:val="24"/>
              </w:rPr>
              <w:t>169</w:t>
            </w:r>
            <w:r>
              <w:rPr>
                <w:sz w:val="24"/>
                <w:szCs w:val="24"/>
              </w:rPr>
              <w:t xml:space="preserve"> </w:t>
            </w:r>
            <w:r w:rsidRPr="00806EEA">
              <w:rPr>
                <w:sz w:val="24"/>
                <w:szCs w:val="24"/>
              </w:rPr>
              <w:t>478,1</w:t>
            </w:r>
          </w:p>
        </w:tc>
        <w:tc>
          <w:tcPr>
            <w:tcW w:w="1533" w:type="dxa"/>
            <w:vAlign w:val="bottom"/>
            <w:hideMark/>
          </w:tcPr>
          <w:p w:rsidR="00F07C41" w:rsidRPr="00806EEA" w:rsidRDefault="00F07C41" w:rsidP="00F07C41">
            <w:pPr>
              <w:jc w:val="center"/>
              <w:rPr>
                <w:sz w:val="24"/>
                <w:szCs w:val="24"/>
              </w:rPr>
            </w:pPr>
            <w:r w:rsidRPr="00806EEA">
              <w:rPr>
                <w:sz w:val="24"/>
                <w:szCs w:val="24"/>
              </w:rPr>
              <w:t>169 473,0</w:t>
            </w:r>
          </w:p>
        </w:tc>
        <w:tc>
          <w:tcPr>
            <w:tcW w:w="1298" w:type="dxa"/>
            <w:vAlign w:val="bottom"/>
            <w:hideMark/>
          </w:tcPr>
          <w:p w:rsidR="00F07C41" w:rsidRPr="00806EEA" w:rsidRDefault="00F07C41" w:rsidP="00F07C41">
            <w:pPr>
              <w:jc w:val="center"/>
              <w:rPr>
                <w:sz w:val="24"/>
                <w:szCs w:val="24"/>
              </w:rPr>
            </w:pPr>
            <w:r w:rsidRPr="00806EEA">
              <w:rPr>
                <w:sz w:val="24"/>
                <w:szCs w:val="24"/>
              </w:rPr>
              <w:t>100,0</w:t>
            </w:r>
          </w:p>
        </w:tc>
        <w:tc>
          <w:tcPr>
            <w:tcW w:w="1431" w:type="dxa"/>
            <w:vAlign w:val="bottom"/>
            <w:hideMark/>
          </w:tcPr>
          <w:p w:rsidR="00F07C41" w:rsidRPr="00806EEA" w:rsidRDefault="00F07C41" w:rsidP="00F07C41">
            <w:pPr>
              <w:jc w:val="center"/>
              <w:rPr>
                <w:sz w:val="24"/>
                <w:szCs w:val="24"/>
              </w:rPr>
            </w:pPr>
            <w:r w:rsidRPr="00806EEA">
              <w:rPr>
                <w:sz w:val="24"/>
                <w:szCs w:val="24"/>
              </w:rPr>
              <w:t>5,1</w:t>
            </w:r>
          </w:p>
        </w:tc>
      </w:tr>
      <w:tr w:rsidR="00F07C41" w:rsidRPr="00806EEA" w:rsidTr="00F07C41">
        <w:trPr>
          <w:trHeight w:val="840"/>
        </w:trPr>
        <w:tc>
          <w:tcPr>
            <w:tcW w:w="4219" w:type="dxa"/>
            <w:hideMark/>
          </w:tcPr>
          <w:p w:rsidR="00F07C41" w:rsidRPr="00806EEA" w:rsidRDefault="00F07C41" w:rsidP="00F07C41">
            <w:pPr>
              <w:rPr>
                <w:sz w:val="24"/>
                <w:szCs w:val="24"/>
              </w:rPr>
            </w:pPr>
            <w:r w:rsidRPr="00806EEA">
              <w:rPr>
                <w:sz w:val="24"/>
                <w:szCs w:val="24"/>
              </w:rPr>
              <w:t>Подпрограмма «Развитие ипотечного жилищного кредитования в Амурской области»</w:t>
            </w:r>
          </w:p>
        </w:tc>
        <w:tc>
          <w:tcPr>
            <w:tcW w:w="1372" w:type="dxa"/>
            <w:vAlign w:val="bottom"/>
            <w:hideMark/>
          </w:tcPr>
          <w:p w:rsidR="00F07C41" w:rsidRPr="00806EEA" w:rsidRDefault="00F07C41" w:rsidP="00F07C41">
            <w:pPr>
              <w:jc w:val="center"/>
              <w:rPr>
                <w:sz w:val="24"/>
                <w:szCs w:val="24"/>
              </w:rPr>
            </w:pPr>
            <w:r w:rsidRPr="00806EEA">
              <w:rPr>
                <w:sz w:val="24"/>
                <w:szCs w:val="24"/>
              </w:rPr>
              <w:t>354</w:t>
            </w:r>
            <w:r>
              <w:rPr>
                <w:sz w:val="24"/>
                <w:szCs w:val="24"/>
              </w:rPr>
              <w:t xml:space="preserve"> </w:t>
            </w:r>
            <w:r w:rsidRPr="00806EEA">
              <w:rPr>
                <w:sz w:val="24"/>
                <w:szCs w:val="24"/>
              </w:rPr>
              <w:t>954,9</w:t>
            </w:r>
          </w:p>
        </w:tc>
        <w:tc>
          <w:tcPr>
            <w:tcW w:w="1533" w:type="dxa"/>
            <w:vAlign w:val="bottom"/>
            <w:hideMark/>
          </w:tcPr>
          <w:p w:rsidR="00F07C41" w:rsidRPr="00806EEA" w:rsidRDefault="00F07C41" w:rsidP="00F07C41">
            <w:pPr>
              <w:jc w:val="center"/>
              <w:rPr>
                <w:sz w:val="24"/>
                <w:szCs w:val="24"/>
              </w:rPr>
            </w:pPr>
            <w:r w:rsidRPr="00806EEA">
              <w:rPr>
                <w:sz w:val="24"/>
                <w:szCs w:val="24"/>
              </w:rPr>
              <w:t>347</w:t>
            </w:r>
            <w:r>
              <w:rPr>
                <w:sz w:val="24"/>
                <w:szCs w:val="24"/>
              </w:rPr>
              <w:t xml:space="preserve"> </w:t>
            </w:r>
            <w:r w:rsidRPr="00806EEA">
              <w:rPr>
                <w:sz w:val="24"/>
                <w:szCs w:val="24"/>
              </w:rPr>
              <w:t>752,2</w:t>
            </w:r>
          </w:p>
        </w:tc>
        <w:tc>
          <w:tcPr>
            <w:tcW w:w="1298" w:type="dxa"/>
            <w:vAlign w:val="bottom"/>
            <w:hideMark/>
          </w:tcPr>
          <w:p w:rsidR="00F07C41" w:rsidRPr="00806EEA" w:rsidRDefault="00F07C41" w:rsidP="00F07C41">
            <w:pPr>
              <w:jc w:val="center"/>
              <w:rPr>
                <w:sz w:val="24"/>
                <w:szCs w:val="24"/>
              </w:rPr>
            </w:pPr>
            <w:r w:rsidRPr="00806EEA">
              <w:rPr>
                <w:sz w:val="24"/>
                <w:szCs w:val="24"/>
              </w:rPr>
              <w:t>98,0</w:t>
            </w:r>
          </w:p>
        </w:tc>
        <w:tc>
          <w:tcPr>
            <w:tcW w:w="1431" w:type="dxa"/>
            <w:vAlign w:val="bottom"/>
            <w:hideMark/>
          </w:tcPr>
          <w:p w:rsidR="00F07C41" w:rsidRPr="00806EEA" w:rsidRDefault="00F07C41" w:rsidP="00F07C41">
            <w:pPr>
              <w:jc w:val="center"/>
              <w:rPr>
                <w:sz w:val="24"/>
                <w:szCs w:val="24"/>
              </w:rPr>
            </w:pPr>
            <w:r w:rsidRPr="00806EEA">
              <w:rPr>
                <w:sz w:val="24"/>
                <w:szCs w:val="24"/>
              </w:rPr>
              <w:t>7 202,7</w:t>
            </w:r>
          </w:p>
        </w:tc>
      </w:tr>
      <w:tr w:rsidR="00F07C41" w:rsidRPr="00806EEA" w:rsidTr="00F07C41">
        <w:trPr>
          <w:trHeight w:val="1405"/>
        </w:trPr>
        <w:tc>
          <w:tcPr>
            <w:tcW w:w="4219" w:type="dxa"/>
            <w:hideMark/>
          </w:tcPr>
          <w:p w:rsidR="00F07C41" w:rsidRPr="00806EEA" w:rsidRDefault="00F07C41" w:rsidP="00F07C41">
            <w:pPr>
              <w:rPr>
                <w:sz w:val="24"/>
                <w:szCs w:val="24"/>
              </w:rPr>
            </w:pPr>
            <w:r w:rsidRPr="00806EEA">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372" w:type="dxa"/>
            <w:vAlign w:val="bottom"/>
            <w:hideMark/>
          </w:tcPr>
          <w:p w:rsidR="00F07C41" w:rsidRPr="00806EEA" w:rsidRDefault="00F07C41" w:rsidP="00F07C41">
            <w:pPr>
              <w:jc w:val="center"/>
              <w:rPr>
                <w:sz w:val="24"/>
                <w:szCs w:val="24"/>
              </w:rPr>
            </w:pPr>
            <w:r w:rsidRPr="00806EEA">
              <w:rPr>
                <w:sz w:val="24"/>
                <w:szCs w:val="24"/>
              </w:rPr>
              <w:t>61</w:t>
            </w:r>
            <w:r>
              <w:rPr>
                <w:sz w:val="24"/>
                <w:szCs w:val="24"/>
              </w:rPr>
              <w:t xml:space="preserve"> </w:t>
            </w:r>
            <w:r w:rsidRPr="00806EEA">
              <w:rPr>
                <w:sz w:val="24"/>
                <w:szCs w:val="24"/>
              </w:rPr>
              <w:t>057,0</w:t>
            </w:r>
          </w:p>
        </w:tc>
        <w:tc>
          <w:tcPr>
            <w:tcW w:w="1533" w:type="dxa"/>
            <w:vAlign w:val="bottom"/>
            <w:hideMark/>
          </w:tcPr>
          <w:p w:rsidR="00F07C41" w:rsidRPr="00806EEA" w:rsidRDefault="00F07C41" w:rsidP="00F07C41">
            <w:pPr>
              <w:jc w:val="center"/>
              <w:rPr>
                <w:sz w:val="24"/>
                <w:szCs w:val="24"/>
              </w:rPr>
            </w:pPr>
            <w:r w:rsidRPr="00806EEA">
              <w:rPr>
                <w:sz w:val="24"/>
                <w:szCs w:val="24"/>
              </w:rPr>
              <w:t>59</w:t>
            </w:r>
            <w:r>
              <w:rPr>
                <w:sz w:val="24"/>
                <w:szCs w:val="24"/>
              </w:rPr>
              <w:t xml:space="preserve"> </w:t>
            </w:r>
            <w:r w:rsidRPr="00806EEA">
              <w:rPr>
                <w:sz w:val="24"/>
                <w:szCs w:val="24"/>
              </w:rPr>
              <w:t>499,9</w:t>
            </w:r>
          </w:p>
        </w:tc>
        <w:tc>
          <w:tcPr>
            <w:tcW w:w="1298" w:type="dxa"/>
            <w:vAlign w:val="bottom"/>
            <w:hideMark/>
          </w:tcPr>
          <w:p w:rsidR="00F07C41" w:rsidRPr="00806EEA" w:rsidRDefault="00F07C41" w:rsidP="00F07C41">
            <w:pPr>
              <w:jc w:val="center"/>
              <w:rPr>
                <w:sz w:val="24"/>
                <w:szCs w:val="24"/>
              </w:rPr>
            </w:pPr>
            <w:r w:rsidRPr="00806EEA">
              <w:rPr>
                <w:sz w:val="24"/>
                <w:szCs w:val="24"/>
              </w:rPr>
              <w:t>97,4</w:t>
            </w:r>
          </w:p>
        </w:tc>
        <w:tc>
          <w:tcPr>
            <w:tcW w:w="1431" w:type="dxa"/>
            <w:vAlign w:val="bottom"/>
            <w:hideMark/>
          </w:tcPr>
          <w:p w:rsidR="00F07C41" w:rsidRPr="00806EEA" w:rsidRDefault="00F07C41" w:rsidP="00F07C41">
            <w:pPr>
              <w:jc w:val="center"/>
              <w:rPr>
                <w:sz w:val="24"/>
                <w:szCs w:val="24"/>
              </w:rPr>
            </w:pPr>
            <w:r w:rsidRPr="00806EEA">
              <w:rPr>
                <w:sz w:val="24"/>
                <w:szCs w:val="24"/>
              </w:rPr>
              <w:t>1 557,1</w:t>
            </w:r>
          </w:p>
        </w:tc>
      </w:tr>
      <w:tr w:rsidR="00F07C41" w:rsidRPr="00806EEA" w:rsidTr="00F07C41">
        <w:trPr>
          <w:trHeight w:val="1694"/>
        </w:trPr>
        <w:tc>
          <w:tcPr>
            <w:tcW w:w="4219" w:type="dxa"/>
            <w:hideMark/>
          </w:tcPr>
          <w:p w:rsidR="00F07C41" w:rsidRPr="00806EEA" w:rsidRDefault="00F07C41" w:rsidP="00F07C41">
            <w:pPr>
              <w:rPr>
                <w:sz w:val="24"/>
                <w:szCs w:val="24"/>
              </w:rPr>
            </w:pPr>
            <w:r w:rsidRPr="00806EEA">
              <w:rPr>
                <w:sz w:val="24"/>
                <w:szCs w:val="24"/>
              </w:rPr>
              <w:t>Подпрограмма «Реализация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tc>
        <w:tc>
          <w:tcPr>
            <w:tcW w:w="1372" w:type="dxa"/>
            <w:vAlign w:val="bottom"/>
            <w:hideMark/>
          </w:tcPr>
          <w:p w:rsidR="00F07C41" w:rsidRPr="00806EEA" w:rsidRDefault="00F07C41" w:rsidP="00F07C41">
            <w:pPr>
              <w:jc w:val="center"/>
              <w:rPr>
                <w:sz w:val="24"/>
                <w:szCs w:val="24"/>
              </w:rPr>
            </w:pPr>
            <w:r w:rsidRPr="00806EEA">
              <w:rPr>
                <w:sz w:val="24"/>
                <w:szCs w:val="24"/>
              </w:rPr>
              <w:t>20 505,5</w:t>
            </w:r>
          </w:p>
        </w:tc>
        <w:tc>
          <w:tcPr>
            <w:tcW w:w="1533" w:type="dxa"/>
            <w:vAlign w:val="bottom"/>
            <w:hideMark/>
          </w:tcPr>
          <w:p w:rsidR="00F07C41" w:rsidRPr="00806EEA" w:rsidRDefault="00F07C41" w:rsidP="00F07C41">
            <w:pPr>
              <w:jc w:val="center"/>
              <w:rPr>
                <w:sz w:val="24"/>
                <w:szCs w:val="24"/>
              </w:rPr>
            </w:pPr>
            <w:r w:rsidRPr="00806EEA">
              <w:rPr>
                <w:sz w:val="24"/>
                <w:szCs w:val="24"/>
              </w:rPr>
              <w:t>20</w:t>
            </w:r>
            <w:r>
              <w:rPr>
                <w:sz w:val="24"/>
                <w:szCs w:val="24"/>
              </w:rPr>
              <w:t xml:space="preserve"> </w:t>
            </w:r>
            <w:r w:rsidRPr="00806EEA">
              <w:rPr>
                <w:sz w:val="24"/>
                <w:szCs w:val="24"/>
              </w:rPr>
              <w:t>505,5</w:t>
            </w:r>
          </w:p>
        </w:tc>
        <w:tc>
          <w:tcPr>
            <w:tcW w:w="1298" w:type="dxa"/>
            <w:vAlign w:val="bottom"/>
            <w:hideMark/>
          </w:tcPr>
          <w:p w:rsidR="00F07C41" w:rsidRPr="00806EEA" w:rsidRDefault="00F07C41" w:rsidP="00F07C41">
            <w:pPr>
              <w:jc w:val="center"/>
              <w:rPr>
                <w:sz w:val="24"/>
                <w:szCs w:val="24"/>
              </w:rPr>
            </w:pPr>
            <w:r w:rsidRPr="00806EEA">
              <w:rPr>
                <w:sz w:val="24"/>
                <w:szCs w:val="24"/>
              </w:rPr>
              <w:t>100,0</w:t>
            </w:r>
          </w:p>
        </w:tc>
        <w:tc>
          <w:tcPr>
            <w:tcW w:w="1431" w:type="dxa"/>
            <w:vAlign w:val="bottom"/>
            <w:hideMark/>
          </w:tcPr>
          <w:p w:rsidR="00F07C41" w:rsidRPr="00806EEA" w:rsidRDefault="00F07C41" w:rsidP="00F07C41">
            <w:pPr>
              <w:jc w:val="center"/>
              <w:rPr>
                <w:sz w:val="24"/>
                <w:szCs w:val="24"/>
              </w:rPr>
            </w:pPr>
            <w:r w:rsidRPr="00806EEA">
              <w:rPr>
                <w:sz w:val="24"/>
                <w:szCs w:val="24"/>
              </w:rPr>
              <w:t>0,0</w:t>
            </w:r>
          </w:p>
        </w:tc>
      </w:tr>
      <w:tr w:rsidR="00F07C41" w:rsidRPr="00806EEA" w:rsidTr="00F07C41">
        <w:trPr>
          <w:trHeight w:val="556"/>
        </w:trPr>
        <w:tc>
          <w:tcPr>
            <w:tcW w:w="4219" w:type="dxa"/>
            <w:hideMark/>
          </w:tcPr>
          <w:p w:rsidR="00F07C41" w:rsidRPr="00806EEA" w:rsidRDefault="00F07C41" w:rsidP="00F07C41">
            <w:pPr>
              <w:rPr>
                <w:sz w:val="24"/>
                <w:szCs w:val="24"/>
              </w:rPr>
            </w:pPr>
            <w:r w:rsidRPr="00806EEA">
              <w:rPr>
                <w:sz w:val="24"/>
                <w:szCs w:val="24"/>
              </w:rPr>
              <w:t xml:space="preserve">Подпрограмма </w:t>
            </w:r>
            <w:r>
              <w:rPr>
                <w:sz w:val="24"/>
                <w:szCs w:val="24"/>
              </w:rPr>
              <w:t>«</w:t>
            </w:r>
            <w:r w:rsidRPr="00806EEA">
              <w:rPr>
                <w:sz w:val="24"/>
                <w:szCs w:val="24"/>
              </w:rPr>
              <w:t>Развитие градостроительной деятельности</w:t>
            </w:r>
            <w:r>
              <w:rPr>
                <w:sz w:val="24"/>
                <w:szCs w:val="24"/>
              </w:rPr>
              <w:t>»</w:t>
            </w:r>
          </w:p>
        </w:tc>
        <w:tc>
          <w:tcPr>
            <w:tcW w:w="1372" w:type="dxa"/>
            <w:vAlign w:val="bottom"/>
            <w:hideMark/>
          </w:tcPr>
          <w:p w:rsidR="00F07C41" w:rsidRPr="00806EEA" w:rsidRDefault="00F07C41" w:rsidP="00F07C41">
            <w:pPr>
              <w:jc w:val="center"/>
              <w:rPr>
                <w:sz w:val="24"/>
                <w:szCs w:val="24"/>
              </w:rPr>
            </w:pPr>
            <w:r w:rsidRPr="00806EEA">
              <w:rPr>
                <w:sz w:val="24"/>
                <w:szCs w:val="24"/>
              </w:rPr>
              <w:t>300,0</w:t>
            </w:r>
          </w:p>
        </w:tc>
        <w:tc>
          <w:tcPr>
            <w:tcW w:w="1533" w:type="dxa"/>
            <w:vAlign w:val="bottom"/>
            <w:hideMark/>
          </w:tcPr>
          <w:p w:rsidR="00F07C41" w:rsidRPr="00806EEA" w:rsidRDefault="00F07C41" w:rsidP="00F07C41">
            <w:pPr>
              <w:jc w:val="center"/>
              <w:rPr>
                <w:sz w:val="24"/>
                <w:szCs w:val="24"/>
              </w:rPr>
            </w:pPr>
            <w:r w:rsidRPr="00806EEA">
              <w:rPr>
                <w:sz w:val="24"/>
                <w:szCs w:val="24"/>
              </w:rPr>
              <w:t>288,0</w:t>
            </w:r>
          </w:p>
        </w:tc>
        <w:tc>
          <w:tcPr>
            <w:tcW w:w="1298" w:type="dxa"/>
            <w:vAlign w:val="bottom"/>
            <w:hideMark/>
          </w:tcPr>
          <w:p w:rsidR="00F07C41" w:rsidRPr="00806EEA" w:rsidRDefault="00F07C41" w:rsidP="00F07C41">
            <w:pPr>
              <w:jc w:val="center"/>
              <w:rPr>
                <w:sz w:val="24"/>
                <w:szCs w:val="24"/>
              </w:rPr>
            </w:pPr>
            <w:r w:rsidRPr="00806EEA">
              <w:rPr>
                <w:sz w:val="24"/>
                <w:szCs w:val="24"/>
              </w:rPr>
              <w:t>96,0</w:t>
            </w:r>
          </w:p>
        </w:tc>
        <w:tc>
          <w:tcPr>
            <w:tcW w:w="1431" w:type="dxa"/>
            <w:vAlign w:val="bottom"/>
            <w:hideMark/>
          </w:tcPr>
          <w:p w:rsidR="00F07C41" w:rsidRPr="00806EEA" w:rsidRDefault="00F07C41" w:rsidP="00F07C41">
            <w:pPr>
              <w:jc w:val="center"/>
              <w:rPr>
                <w:sz w:val="24"/>
                <w:szCs w:val="24"/>
              </w:rPr>
            </w:pPr>
            <w:r w:rsidRPr="00806EEA">
              <w:rPr>
                <w:sz w:val="24"/>
                <w:szCs w:val="24"/>
              </w:rPr>
              <w:t>12,0</w:t>
            </w:r>
          </w:p>
        </w:tc>
      </w:tr>
    </w:tbl>
    <w:p w:rsidR="00F07C41" w:rsidRDefault="00F07C41" w:rsidP="00051B16">
      <w:pPr>
        <w:jc w:val="both"/>
        <w:rPr>
          <w:i/>
          <w:sz w:val="24"/>
          <w:szCs w:val="24"/>
        </w:rPr>
      </w:pPr>
    </w:p>
    <w:p w:rsidR="00051B16" w:rsidRPr="00051B16" w:rsidRDefault="00051B16" w:rsidP="00051B16">
      <w:pPr>
        <w:jc w:val="both"/>
        <w:rPr>
          <w:i/>
          <w:sz w:val="24"/>
          <w:szCs w:val="24"/>
        </w:rPr>
      </w:pPr>
    </w:p>
    <w:p w:rsidR="00F07C41" w:rsidRPr="00F07C41" w:rsidRDefault="00F07C41" w:rsidP="00F07C41">
      <w:pPr>
        <w:pStyle w:val="afa"/>
        <w:numPr>
          <w:ilvl w:val="0"/>
          <w:numId w:val="6"/>
        </w:numPr>
        <w:ind w:left="0" w:firstLine="709"/>
        <w:jc w:val="both"/>
        <w:rPr>
          <w:i/>
          <w:sz w:val="24"/>
          <w:szCs w:val="24"/>
        </w:rPr>
      </w:pPr>
      <w:r w:rsidRPr="00F07C41">
        <w:rPr>
          <w:i/>
          <w:sz w:val="24"/>
          <w:szCs w:val="24"/>
        </w:rPr>
        <w:lastRenderedPageBreak/>
        <w:t>Подпрограмма «Повышение устойчивости жилых домов, основных объектов и систем жизнеобеспечения в сейсмических районах области»</w:t>
      </w:r>
    </w:p>
    <w:p w:rsidR="00F07C41" w:rsidRPr="00F07C41" w:rsidRDefault="00F07C41" w:rsidP="00F07C41">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«Повышение устойчивости жилых домов, основных объектов и систем жизнеобеспечения в сейсмических районах области» утверждены в расходах областного бюджета в сумме 16091,8 тыс. рублей. </w:t>
      </w:r>
    </w:p>
    <w:p w:rsidR="00F07C41" w:rsidRPr="00F07C41" w:rsidRDefault="00F07C41" w:rsidP="00F07C41">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F07C41" w:rsidRPr="00F07C41" w:rsidRDefault="00F07C41" w:rsidP="00F07C41">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В 2017 году в рамках мероприятия «Строительство сейсмостойких жилых домов в Амурской области, в рамках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произведена оплата за выполненные работы, а также выплаты по исполнительным листам.</w:t>
      </w:r>
    </w:p>
    <w:p w:rsidR="00D84ECA" w:rsidRPr="000E7AF3"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заданные показатели результативности достигнуты.</w:t>
      </w:r>
    </w:p>
    <w:p w:rsidR="00D84ECA" w:rsidRPr="000E7AF3" w:rsidRDefault="00D84ECA" w:rsidP="000E7AF3">
      <w:pPr>
        <w:spacing w:after="0" w:line="240" w:lineRule="auto"/>
        <w:ind w:firstLine="709"/>
        <w:jc w:val="both"/>
        <w:rPr>
          <w:rFonts w:ascii="Times New Roman" w:hAnsi="Times New Roman" w:cs="Times New Roman"/>
          <w:sz w:val="24"/>
          <w:szCs w:val="24"/>
        </w:rPr>
      </w:pPr>
      <w:r w:rsidRPr="000E7AF3">
        <w:rPr>
          <w:rFonts w:ascii="Times New Roman" w:hAnsi="Times New Roman" w:cs="Times New Roman"/>
          <w:sz w:val="24"/>
          <w:szCs w:val="24"/>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w:t>
      </w:r>
    </w:p>
    <w:p w:rsidR="00D84ECA" w:rsidRPr="00D84ECA" w:rsidRDefault="00D84ECA" w:rsidP="000E7AF3">
      <w:pPr>
        <w:spacing w:after="0" w:line="240" w:lineRule="auto"/>
        <w:ind w:firstLine="709"/>
        <w:jc w:val="both"/>
        <w:rPr>
          <w:rFonts w:ascii="Times New Roman" w:hAnsi="Times New Roman" w:cs="Times New Roman"/>
          <w:sz w:val="24"/>
          <w:szCs w:val="24"/>
        </w:rPr>
      </w:pPr>
      <w:r w:rsidRPr="00D84ECA">
        <w:rPr>
          <w:rFonts w:ascii="Times New Roman" w:hAnsi="Times New Roman" w:cs="Times New Roman"/>
          <w:sz w:val="24"/>
          <w:szCs w:val="24"/>
        </w:rPr>
        <w:t>Бюджетные ассигнования по подпрограмме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Амурской области» утверждены в расходах областного бюджета в сумме 192260,0 тыс. рублей.</w:t>
      </w:r>
    </w:p>
    <w:p w:rsidR="00D84ECA" w:rsidRPr="00D84ECA" w:rsidRDefault="00D84ECA" w:rsidP="000E7AF3">
      <w:pPr>
        <w:spacing w:after="0" w:line="240" w:lineRule="auto"/>
        <w:ind w:firstLine="709"/>
        <w:jc w:val="both"/>
        <w:rPr>
          <w:rFonts w:ascii="Times New Roman" w:hAnsi="Times New Roman" w:cs="Times New Roman"/>
          <w:sz w:val="24"/>
          <w:szCs w:val="24"/>
        </w:rPr>
      </w:pPr>
      <w:r w:rsidRPr="00D84ECA">
        <w:rPr>
          <w:rFonts w:ascii="Times New Roman" w:hAnsi="Times New Roman" w:cs="Times New Roman"/>
          <w:sz w:val="24"/>
          <w:szCs w:val="24"/>
        </w:rPr>
        <w:t xml:space="preserve">Уровень исполнения расходов, предусмотренных на реализацию подпрограммы, составил 100,0 процентов. </w:t>
      </w:r>
    </w:p>
    <w:p w:rsidR="00D84ECA" w:rsidRPr="00D84ECA" w:rsidRDefault="00D84ECA" w:rsidP="000E7AF3">
      <w:pPr>
        <w:spacing w:after="0" w:line="240" w:lineRule="auto"/>
        <w:ind w:firstLine="709"/>
        <w:jc w:val="both"/>
        <w:rPr>
          <w:rFonts w:ascii="Times New Roman" w:hAnsi="Times New Roman" w:cs="Times New Roman"/>
          <w:sz w:val="24"/>
          <w:szCs w:val="24"/>
        </w:rPr>
      </w:pPr>
      <w:r w:rsidRPr="00D84ECA">
        <w:rPr>
          <w:rFonts w:ascii="Times New Roman" w:hAnsi="Times New Roman" w:cs="Times New Roman"/>
          <w:sz w:val="24"/>
          <w:szCs w:val="24"/>
        </w:rPr>
        <w:t>Подпрограммой предусмотрено приобретение жилых помещений на первичном и (или) вторичном рынках жилья в целях переселения граждан из ветхого жилищного фонда в зоне Байкало-Амурской магистрали.</w:t>
      </w:r>
    </w:p>
    <w:p w:rsidR="00D84ECA" w:rsidRPr="00D84ECA" w:rsidRDefault="00D84ECA" w:rsidP="00D84ECA">
      <w:pPr>
        <w:spacing w:after="0" w:line="240" w:lineRule="auto"/>
        <w:ind w:firstLine="709"/>
        <w:jc w:val="both"/>
        <w:rPr>
          <w:rFonts w:ascii="Times New Roman" w:hAnsi="Times New Roman" w:cs="Times New Roman"/>
          <w:sz w:val="24"/>
          <w:szCs w:val="24"/>
        </w:rPr>
      </w:pPr>
      <w:proofErr w:type="gramStart"/>
      <w:r w:rsidRPr="00D84ECA">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показатель результативности - приобретение жилых помещений на первичном и (или) вторичном рынках жилья достигнут на уровне 135,0 процентов плана.</w:t>
      </w:r>
      <w:proofErr w:type="gramEnd"/>
      <w:r w:rsidRPr="00D84ECA">
        <w:rPr>
          <w:rFonts w:ascii="Times New Roman" w:hAnsi="Times New Roman" w:cs="Times New Roman"/>
          <w:sz w:val="24"/>
          <w:szCs w:val="24"/>
        </w:rPr>
        <w:t xml:space="preserve"> При плане 4487 </w:t>
      </w:r>
      <w:proofErr w:type="spellStart"/>
      <w:r w:rsidRPr="00D84ECA">
        <w:rPr>
          <w:rFonts w:ascii="Times New Roman" w:hAnsi="Times New Roman" w:cs="Times New Roman"/>
          <w:sz w:val="24"/>
          <w:szCs w:val="24"/>
        </w:rPr>
        <w:t>кв</w:t>
      </w:r>
      <w:proofErr w:type="gramStart"/>
      <w:r w:rsidRPr="00D84ECA">
        <w:rPr>
          <w:rFonts w:ascii="Times New Roman" w:hAnsi="Times New Roman" w:cs="Times New Roman"/>
          <w:sz w:val="24"/>
          <w:szCs w:val="24"/>
        </w:rPr>
        <w:t>.м</w:t>
      </w:r>
      <w:proofErr w:type="spellEnd"/>
      <w:proofErr w:type="gramEnd"/>
      <w:r w:rsidRPr="00D84ECA">
        <w:rPr>
          <w:rFonts w:ascii="Times New Roman" w:hAnsi="Times New Roman" w:cs="Times New Roman"/>
          <w:sz w:val="24"/>
          <w:szCs w:val="24"/>
        </w:rPr>
        <w:t xml:space="preserve">, приобретено 6064,6 </w:t>
      </w:r>
      <w:proofErr w:type="spellStart"/>
      <w:r w:rsidRPr="00D84ECA">
        <w:rPr>
          <w:rFonts w:ascii="Times New Roman" w:hAnsi="Times New Roman" w:cs="Times New Roman"/>
          <w:sz w:val="24"/>
          <w:szCs w:val="24"/>
        </w:rPr>
        <w:t>кв.м</w:t>
      </w:r>
      <w:proofErr w:type="spellEnd"/>
      <w:r w:rsidRPr="00D84ECA">
        <w:rPr>
          <w:rFonts w:ascii="Times New Roman" w:hAnsi="Times New Roman" w:cs="Times New Roman"/>
          <w:sz w:val="24"/>
          <w:szCs w:val="24"/>
        </w:rPr>
        <w:t>.</w:t>
      </w:r>
    </w:p>
    <w:p w:rsidR="00F07C41" w:rsidRPr="000E7AF3" w:rsidRDefault="00F07C41" w:rsidP="000E7AF3">
      <w:pPr>
        <w:spacing w:after="0" w:line="240" w:lineRule="auto"/>
        <w:ind w:firstLine="709"/>
        <w:jc w:val="both"/>
        <w:rPr>
          <w:rFonts w:ascii="Times New Roman" w:hAnsi="Times New Roman" w:cs="Times New Roman"/>
          <w:sz w:val="24"/>
          <w:szCs w:val="24"/>
        </w:rPr>
      </w:pPr>
      <w:r w:rsidRPr="000E7AF3">
        <w:rPr>
          <w:rFonts w:ascii="Times New Roman" w:hAnsi="Times New Roman" w:cs="Times New Roman"/>
          <w:sz w:val="24"/>
          <w:szCs w:val="24"/>
        </w:rPr>
        <w:t>Подпрограмма «Обеспечение жильем молодых семей»</w:t>
      </w:r>
    </w:p>
    <w:p w:rsidR="00F07C41" w:rsidRPr="00F07C41" w:rsidRDefault="00F07C41" w:rsidP="00F07C41">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«Обеспечение жильем молодых семей» утверждены в расходах областного бюджета в сумме 20586,9 тыс. рублей. </w:t>
      </w:r>
    </w:p>
    <w:p w:rsidR="00F07C41" w:rsidRPr="00F07C41" w:rsidRDefault="00F07C41" w:rsidP="00F07C41">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Подпрограммой предусмотрено предоставление межбюджетных трансфертов муниципальным образованиям области на реализацию мероприятий по предоставлению социальных выплат молодым семьям на приобретение (строительство) жилья. </w:t>
      </w:r>
    </w:p>
    <w:p w:rsidR="00F07C41" w:rsidRPr="00F07C41" w:rsidRDefault="00F07C41" w:rsidP="00F07C41">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Данное мероприятие финансировалось за счет средств федерального и областного бюджетов.</w:t>
      </w:r>
      <w:r>
        <w:rPr>
          <w:rFonts w:ascii="Times New Roman" w:hAnsi="Times New Roman" w:cs="Times New Roman"/>
          <w:sz w:val="24"/>
          <w:szCs w:val="24"/>
        </w:rPr>
        <w:t xml:space="preserve"> </w:t>
      </w:r>
      <w:r w:rsidRPr="00F07C41">
        <w:rPr>
          <w:rFonts w:ascii="Times New Roman" w:hAnsi="Times New Roman" w:cs="Times New Roman"/>
          <w:sz w:val="24"/>
          <w:szCs w:val="24"/>
        </w:rPr>
        <w:t>Исполнение составило 20186,5 тыс. рублей, или 98,1 процента плана.</w:t>
      </w:r>
    </w:p>
    <w:p w:rsidR="000E7AF3" w:rsidRPr="000E7AF3"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Следует отметить, что</w:t>
      </w:r>
      <w:r>
        <w:rPr>
          <w:rFonts w:ascii="Times New Roman" w:hAnsi="Times New Roman" w:cs="Times New Roman"/>
          <w:sz w:val="24"/>
          <w:szCs w:val="24"/>
        </w:rPr>
        <w:t>,</w:t>
      </w:r>
      <w:r w:rsidRPr="00F07C41">
        <w:rPr>
          <w:rFonts w:ascii="Times New Roman" w:hAnsi="Times New Roman" w:cs="Times New Roman"/>
          <w:sz w:val="24"/>
          <w:szCs w:val="24"/>
        </w:rPr>
        <w:t xml:space="preserve"> несмотря на неполный объем финансового обеспечения данных расходов показатель результативности, согласно сводному годовому докладу о ходе реализации и об оценке эффективности государственных программ области, достигнут с уровнем 100,0 процентов (установлены показатели результативности – число молодых </w:t>
      </w:r>
      <w:r w:rsidR="00D84ECA">
        <w:rPr>
          <w:rFonts w:ascii="Times New Roman" w:hAnsi="Times New Roman" w:cs="Times New Roman"/>
          <w:sz w:val="24"/>
          <w:szCs w:val="24"/>
        </w:rPr>
        <w:br/>
      </w:r>
      <w:r w:rsidRPr="00F07C41">
        <w:rPr>
          <w:rFonts w:ascii="Times New Roman" w:hAnsi="Times New Roman" w:cs="Times New Roman"/>
          <w:sz w:val="24"/>
          <w:szCs w:val="24"/>
        </w:rPr>
        <w:t xml:space="preserve">семей – участников подпрограммы в количестве 37). </w:t>
      </w:r>
    </w:p>
    <w:p w:rsidR="00F07C41" w:rsidRPr="00F07C41" w:rsidRDefault="00F07C41" w:rsidP="00F07C41">
      <w:pPr>
        <w:pStyle w:val="afa"/>
        <w:numPr>
          <w:ilvl w:val="0"/>
          <w:numId w:val="6"/>
        </w:numPr>
        <w:ind w:left="0" w:firstLine="709"/>
        <w:jc w:val="both"/>
        <w:rPr>
          <w:i/>
          <w:sz w:val="24"/>
          <w:szCs w:val="24"/>
        </w:rPr>
      </w:pPr>
      <w:r w:rsidRPr="00F07C41">
        <w:rPr>
          <w:i/>
          <w:sz w:val="24"/>
          <w:szCs w:val="24"/>
        </w:rPr>
        <w:t>Подпрограмма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утверждены в расходах областного бюджета в сумме </w:t>
      </w:r>
      <w:r w:rsidRPr="00F07C41">
        <w:rPr>
          <w:rFonts w:ascii="Times New Roman" w:hAnsi="Times New Roman" w:cs="Times New Roman"/>
          <w:sz w:val="24"/>
          <w:szCs w:val="24"/>
        </w:rPr>
        <w:lastRenderedPageBreak/>
        <w:t>696528,6 тыс. рублей. В общем объеме расходов государственной программы доля расходов по данной подпрограмме составляет 42,0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87,9 процента (объем неисполненных ассигнований составил 84436,6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В рамках данной подпрограммы в 2017 году осуществлялась реализация программного мероприятия «Обеспечение мероприятий по переселению граждан из аварийного жилищного фонда с учетом необходимости развития малоэтажного жилищного строительства», финансируемого из средств:</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 государственной корпорации Фонд содействия реформированию жилищно-коммунального хозяйства: при плане 646528,5 тыс. рублей, исполнение составило </w:t>
      </w:r>
      <w:r w:rsidRPr="00F07C41">
        <w:rPr>
          <w:rFonts w:ascii="Times New Roman" w:hAnsi="Times New Roman" w:cs="Times New Roman"/>
          <w:sz w:val="24"/>
          <w:szCs w:val="24"/>
        </w:rPr>
        <w:br/>
        <w:t>562092,0 тыс. рублей, или 86,9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 областного бюджета: при плане 50000,0 тыс. рублей исполнение составило </w:t>
      </w:r>
      <w:r w:rsidRPr="00F07C41">
        <w:rPr>
          <w:rFonts w:ascii="Times New Roman" w:hAnsi="Times New Roman" w:cs="Times New Roman"/>
          <w:sz w:val="24"/>
          <w:szCs w:val="24"/>
        </w:rPr>
        <w:br/>
        <w:t>100,0 процентов.</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Следует отметить, что при неполном финансовом обеспечении расходов за счет средств государственной корпорации «Фонд содействия реформированию жилищно-коммунального хозяйства» (86,9 процента) показатель результативности, согласно сводному годовому докладу о ходе реализации и об оценке эффективности государственных программ области, достигнут с уровнем 101,0 процент (установленный показатель результативности – площадь жилых помещений ликвидируемого аварийного жилищного фонда 62,5 тыс. кв.м, результат 62,99 тыс. кв.м).</w:t>
      </w:r>
    </w:p>
    <w:p w:rsidR="00F07C41" w:rsidRPr="00F07C41" w:rsidRDefault="00F07C41" w:rsidP="000E7AF3">
      <w:pPr>
        <w:pStyle w:val="afa"/>
        <w:numPr>
          <w:ilvl w:val="0"/>
          <w:numId w:val="6"/>
        </w:numPr>
        <w:ind w:left="0" w:firstLine="709"/>
        <w:jc w:val="both"/>
        <w:rPr>
          <w:i/>
          <w:sz w:val="24"/>
          <w:szCs w:val="24"/>
        </w:rPr>
      </w:pPr>
      <w:r w:rsidRPr="00F07C41">
        <w:rPr>
          <w:i/>
          <w:sz w:val="24"/>
          <w:szCs w:val="24"/>
        </w:rPr>
        <w:t>Подпрограмма «Улучшение жилищных условий отдельных категорий граждан, проживающих на территории области»</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«Улучшение жилищных условий отдельных категорий граждан, проживающих на территории области» утверждены в расходах областного бюджета в сумме 127246,0 тыс. рублей. </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7,7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95,1 процента (объем неисполненных ассигнований составил </w:t>
      </w:r>
      <w:r w:rsidRPr="00F07C41">
        <w:rPr>
          <w:rFonts w:ascii="Times New Roman" w:hAnsi="Times New Roman" w:cs="Times New Roman"/>
          <w:sz w:val="24"/>
          <w:szCs w:val="24"/>
        </w:rPr>
        <w:br/>
        <w:t>6263,4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Система программных мероприятий по данной подпрограмме предусматривает следующие мероприятия:</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 при плане 29307,3 тыс. рублей исполнение составило 100,0 процентов;</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при плане 19503,2 тыс. рублей, исполнение составило 19281,2 тыс. рублей, или </w:t>
      </w:r>
      <w:r w:rsidRPr="00F07C41">
        <w:rPr>
          <w:rFonts w:ascii="Times New Roman" w:hAnsi="Times New Roman" w:cs="Times New Roman"/>
          <w:sz w:val="24"/>
          <w:szCs w:val="24"/>
        </w:rPr>
        <w:br/>
        <w:t>98,9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обеспечение жильем граждан, уволенных с военной службы (службы), и приравненных к ним лиц - при плане 6713,9тыс. рублей, исполнение составило 4498,9 тыс. рублей, или 67,0 процентов;</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обеспечение жильем отдельных категорий ветеранов и членов их семей - плановые назначения в сумме 5398,7 тыс. рублей исполнены в полном объеме;</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предоставление многодетным семьям социальной выплаты на улучшение жилищных условий - плановые назначения в сумме 7718,2 тыс. рублей исполнены в полном объеме;</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предоставление регионального материнского капитала на улучшение жилищных условий семьям, родившим (усыновившим) третьего или последующего ребенка – при плане 58604,6 тыс. рублей, исполнение составило 54778,3 тыс. рублей, или 93,5 процента.</w:t>
      </w:r>
    </w:p>
    <w:p w:rsidR="00F07C41" w:rsidRPr="00F07C41" w:rsidRDefault="00F07C41" w:rsidP="000E7AF3">
      <w:pPr>
        <w:pStyle w:val="afa"/>
        <w:numPr>
          <w:ilvl w:val="0"/>
          <w:numId w:val="6"/>
        </w:numPr>
        <w:ind w:left="0" w:firstLine="709"/>
        <w:jc w:val="both"/>
        <w:rPr>
          <w:i/>
          <w:sz w:val="24"/>
          <w:szCs w:val="24"/>
        </w:rPr>
      </w:pPr>
      <w:r w:rsidRPr="00F07C41">
        <w:rPr>
          <w:i/>
          <w:sz w:val="24"/>
          <w:szCs w:val="24"/>
        </w:rPr>
        <w:lastRenderedPageBreak/>
        <w:t>Подпрограмма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утверждены в расходах областного бюджета в сумме 169478,1 тыс. рублей. </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В общем объеме расходов государственной программы доля расходов по данной подпрограмме составляет 10,2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Финансирование мероприятий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осуществлялось на условиях софинансирования из федерального и областного бюджетов:</w:t>
      </w:r>
    </w:p>
    <w:p w:rsidR="00F07C41" w:rsidRPr="00F07C41" w:rsidRDefault="00F07C41" w:rsidP="000E7A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07C41">
        <w:rPr>
          <w:rFonts w:ascii="Times New Roman" w:hAnsi="Times New Roman" w:cs="Times New Roman"/>
          <w:sz w:val="24"/>
          <w:szCs w:val="24"/>
        </w:rPr>
        <w:t>за счет средств федерального бюджета при плане 76123,3 тыс. рублей исполнение составило 76121,0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07C41">
        <w:rPr>
          <w:rFonts w:ascii="Times New Roman" w:hAnsi="Times New Roman" w:cs="Times New Roman"/>
          <w:sz w:val="24"/>
          <w:szCs w:val="24"/>
        </w:rPr>
        <w:t>за счет средств областного бюджета при плане 93354,8 тыс. рублей исполнение составило 93354,2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Согласно сводному годовому докладу о ходе реализации и об оценке эффективности государственных программ области, показатель результативности - число детей-сирот и детей, оставшихся без попечения родителей, обеспеченных жилыми помещениями из специализированного жилищного фонда в количестве 134 человека, достигнут – 151 человек, или 113,0 процентов. </w:t>
      </w:r>
    </w:p>
    <w:p w:rsidR="00F07C41" w:rsidRPr="00F07C41" w:rsidRDefault="00F07C41" w:rsidP="000E7AF3">
      <w:pPr>
        <w:pStyle w:val="afa"/>
        <w:numPr>
          <w:ilvl w:val="0"/>
          <w:numId w:val="6"/>
        </w:numPr>
        <w:ind w:left="0" w:firstLine="709"/>
        <w:jc w:val="both"/>
        <w:rPr>
          <w:i/>
          <w:sz w:val="24"/>
          <w:szCs w:val="24"/>
        </w:rPr>
      </w:pPr>
      <w:r w:rsidRPr="00F07C41">
        <w:rPr>
          <w:color w:val="4F81BD" w:themeColor="accent1"/>
          <w:sz w:val="24"/>
          <w:szCs w:val="24"/>
        </w:rPr>
        <w:t xml:space="preserve"> </w:t>
      </w:r>
      <w:r w:rsidRPr="00F07C41">
        <w:rPr>
          <w:i/>
          <w:sz w:val="24"/>
          <w:szCs w:val="24"/>
        </w:rPr>
        <w:t>Подпрограмма «Развитие ипотечного жилищного кредитования в Амурской области»</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Бюджетные ассигнования по подпрограмме «Развитие ипотечного жилищного кредитования в Амурской области» утверждены в расходах областного бюджета в сумме 354954,9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98,0 процентов (объем неисполненных ассигнований составил </w:t>
      </w:r>
      <w:r w:rsidRPr="00F07C41">
        <w:rPr>
          <w:rFonts w:ascii="Times New Roman" w:hAnsi="Times New Roman" w:cs="Times New Roman"/>
          <w:sz w:val="24"/>
          <w:szCs w:val="24"/>
        </w:rPr>
        <w:br/>
        <w:t>7202,7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В рамках подпрограммы в 2017 году осуществлялись выплаты:</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 компенсации части расходов по уплате процентов по ипотечным кредитам (займам), полученным гражданами на строительство или приобретение жилья. При плановых назначениях 286154,6 тыс. рублей, исполнение составило 283887,2 тыс. рублей, или </w:t>
      </w:r>
      <w:r w:rsidRPr="00F07C41">
        <w:rPr>
          <w:rFonts w:ascii="Times New Roman" w:hAnsi="Times New Roman" w:cs="Times New Roman"/>
          <w:sz w:val="24"/>
          <w:szCs w:val="24"/>
        </w:rPr>
        <w:br/>
        <w:t>99,2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компенсации расходов по уплате процентов по ипотечным кредитам (займам), полученным на строительство или приобретение жилья молодыми семьями, один из членов которой работает в государственном или муниципальном учреждении, финансируемом за счет средств областного или местных бюджетов, по заявлениям которых приняты решения о предоставлении социальной выплаты. При плановых назначениях 68800,3 тыс. рублей, исполнение составило 63865,0 тыс. рублей, или 92,8 процента;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при установленном плановом показателе результативности 2536 человек по вышеуказанным мероприятиям количество граждан, получивших государственную поддержку, составило 3861 человек.</w:t>
      </w:r>
    </w:p>
    <w:p w:rsidR="00F07C41" w:rsidRPr="00F07C41" w:rsidRDefault="00F07C41" w:rsidP="000E7AF3">
      <w:pPr>
        <w:pStyle w:val="afa"/>
        <w:numPr>
          <w:ilvl w:val="0"/>
          <w:numId w:val="6"/>
        </w:numPr>
        <w:ind w:left="0" w:firstLine="709"/>
        <w:jc w:val="both"/>
        <w:rPr>
          <w:i/>
          <w:sz w:val="24"/>
          <w:szCs w:val="24"/>
        </w:rPr>
      </w:pPr>
      <w:r w:rsidRPr="00F07C41">
        <w:rPr>
          <w:i/>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 утверждены в расходах областного бюджета в сумме 61057,1 тыс. рублей. </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lastRenderedPageBreak/>
        <w:t xml:space="preserve">Уровень исполнения расходов, предусмотренных на реализацию мероприятий подпрограммы, составил 97,4 процента (объем неисполненных ассигнований составил </w:t>
      </w:r>
      <w:r w:rsidRPr="00F07C41">
        <w:rPr>
          <w:rFonts w:ascii="Times New Roman" w:hAnsi="Times New Roman" w:cs="Times New Roman"/>
          <w:sz w:val="24"/>
          <w:szCs w:val="24"/>
        </w:rPr>
        <w:br/>
        <w:t>1557,2 тыс. рублей).</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По данной подпрограмме осуществлялось финансирование инспекции государственного строительного надзора Амурской области в сумме 16129,3 тыс. рублей, или 99,2 процента плана</w:t>
      </w:r>
      <w:r w:rsidR="00B8655E">
        <w:rPr>
          <w:rFonts w:ascii="Times New Roman" w:hAnsi="Times New Roman" w:cs="Times New Roman"/>
          <w:sz w:val="24"/>
          <w:szCs w:val="24"/>
        </w:rPr>
        <w:t xml:space="preserve">, </w:t>
      </w:r>
      <w:r w:rsidRPr="00F07C41">
        <w:rPr>
          <w:rFonts w:ascii="Times New Roman" w:hAnsi="Times New Roman" w:cs="Times New Roman"/>
          <w:sz w:val="24"/>
          <w:szCs w:val="24"/>
        </w:rPr>
        <w:t xml:space="preserve">и государственного казенного учреждения Амурской области «Строитель» в сумме 43370,6 тыс. рублей, или 96,8 процента плана. </w:t>
      </w:r>
    </w:p>
    <w:p w:rsidR="00F07C41" w:rsidRPr="00F07C41" w:rsidRDefault="00F07C41" w:rsidP="000E7AF3">
      <w:pPr>
        <w:pStyle w:val="afa"/>
        <w:numPr>
          <w:ilvl w:val="0"/>
          <w:numId w:val="6"/>
        </w:numPr>
        <w:ind w:left="0" w:firstLine="709"/>
        <w:jc w:val="both"/>
        <w:rPr>
          <w:i/>
          <w:sz w:val="24"/>
          <w:szCs w:val="24"/>
        </w:rPr>
      </w:pPr>
      <w:r w:rsidRPr="00F07C41">
        <w:rPr>
          <w:i/>
          <w:sz w:val="24"/>
          <w:szCs w:val="24"/>
        </w:rPr>
        <w:t>Подпрограмма «Реализация мер государственной поддержки гражданам, чьи денежные средства привлечены для строительства многоквартирных домов и чьи права нарушены»</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Бюджетные ассигнования по подпрограмме «Реализация мер государственной поддержки гражданам, чьи денежные средства привлечены для строительства многоквартирных домов и чьи права нарушены» утверждены в расходах областного бюджета в сумме 20505,5 тыс. рублей. </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 xml:space="preserve">Система основных мероприятий подпрограммы предусматривает предоставление мер государственной поддержки гражданам, чьи денежные средства привлечены для строительства многоквартирных домов и чьи права нарушены в целях обеспечение защиты прав граждан - участников долевого строительства. </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Данные расходы профинансированы в полном объеме.</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количество граждан, получивших государственную поддержку, составило 13 человек при аналогичном плановом показателе.</w:t>
      </w:r>
    </w:p>
    <w:p w:rsidR="00F07C41" w:rsidRPr="00F07C41" w:rsidRDefault="00F07C41" w:rsidP="000E7AF3">
      <w:pPr>
        <w:pStyle w:val="afa"/>
        <w:numPr>
          <w:ilvl w:val="0"/>
          <w:numId w:val="6"/>
        </w:numPr>
        <w:ind w:left="0" w:firstLine="709"/>
        <w:jc w:val="both"/>
        <w:rPr>
          <w:i/>
          <w:sz w:val="24"/>
          <w:szCs w:val="24"/>
        </w:rPr>
      </w:pPr>
      <w:r w:rsidRPr="00F07C41">
        <w:rPr>
          <w:i/>
          <w:sz w:val="24"/>
          <w:szCs w:val="24"/>
        </w:rPr>
        <w:t>Подпрограмма «Развитие градостроительной деятельности»</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Бюджетные ассигнования по подпрограмме «Развитие градостроительной деятельности» утверждены в расходах областного бюджета в сумме 300,0 тыс. рублей, и предусматривают финансовое обеспечение затрат, связанных с корректировкой градостроительных документов регионального уровня, регламентируемых Градостроительным кодексом Российской Федерации.</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Исполнение по данной подпрограмме за 2017 год сложилось в сумме 288,0 тыс. рублей, или 96,0 процентов плана.</w:t>
      </w:r>
    </w:p>
    <w:p w:rsidR="00F07C41" w:rsidRPr="00F07C41" w:rsidRDefault="00F07C41" w:rsidP="000E7AF3">
      <w:pPr>
        <w:spacing w:after="0" w:line="240" w:lineRule="auto"/>
        <w:ind w:firstLine="709"/>
        <w:jc w:val="both"/>
        <w:rPr>
          <w:rFonts w:ascii="Times New Roman" w:hAnsi="Times New Roman" w:cs="Times New Roman"/>
          <w:sz w:val="24"/>
          <w:szCs w:val="24"/>
        </w:rPr>
      </w:pPr>
      <w:r w:rsidRPr="00F07C41">
        <w:rPr>
          <w:rFonts w:ascii="Times New Roman" w:hAnsi="Times New Roman" w:cs="Times New Roman"/>
          <w:sz w:val="24"/>
          <w:szCs w:val="24"/>
        </w:rPr>
        <w:t>Информация о расходах государственной программы «Обеспечение доступным и качественным жильем населения Амурской области на 2014–2020 годы» по основным направлениям деятельности представлена на рисунке</w:t>
      </w:r>
      <w:r w:rsidR="00324560">
        <w:rPr>
          <w:rFonts w:ascii="Times New Roman" w:hAnsi="Times New Roman" w:cs="Times New Roman"/>
          <w:sz w:val="24"/>
          <w:szCs w:val="24"/>
        </w:rPr>
        <w:t xml:space="preserve"> 27</w:t>
      </w:r>
      <w:r w:rsidRPr="00F07C41">
        <w:rPr>
          <w:rFonts w:ascii="Times New Roman" w:hAnsi="Times New Roman" w:cs="Times New Roman"/>
          <w:sz w:val="24"/>
          <w:szCs w:val="24"/>
        </w:rPr>
        <w:t>.</w:t>
      </w:r>
    </w:p>
    <w:p w:rsidR="00F07C41" w:rsidRPr="00040A69" w:rsidRDefault="00F07C41" w:rsidP="00F07C41">
      <w:pPr>
        <w:spacing w:after="0"/>
        <w:ind w:firstLine="709"/>
        <w:jc w:val="both"/>
        <w:rPr>
          <w:rFonts w:ascii="Times New Roman" w:hAnsi="Times New Roman" w:cs="Times New Roman"/>
          <w:color w:val="4F81BD" w:themeColor="accent1"/>
          <w:sz w:val="24"/>
          <w:szCs w:val="24"/>
        </w:rPr>
      </w:pPr>
    </w:p>
    <w:p w:rsidR="00F07C41" w:rsidRPr="00DD59E5" w:rsidRDefault="00F07C41" w:rsidP="00F07C41">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F17F7C1" wp14:editId="358894BC">
            <wp:extent cx="6448097" cy="2774731"/>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07C41" w:rsidRDefault="00B8655E" w:rsidP="00B8655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 27 -</w:t>
      </w:r>
      <w:r w:rsidR="00F07C41" w:rsidRPr="00CB3EC1">
        <w:rPr>
          <w:rFonts w:ascii="Times New Roman" w:eastAsia="Times New Roman" w:hAnsi="Times New Roman" w:cs="Times New Roman"/>
          <w:b/>
          <w:sz w:val="24"/>
          <w:szCs w:val="24"/>
          <w:lang w:eastAsia="ru-RU"/>
        </w:rPr>
        <w:t xml:space="preserve"> Основные направления расходов областного бюджета по государственной программе «Обеспечение доступным и качественным жильем населения Амурской области на 2014–2020 годы», млн. рублей</w:t>
      </w:r>
    </w:p>
    <w:p w:rsidR="00F07C41" w:rsidRPr="004D787F" w:rsidRDefault="00F07C41" w:rsidP="00F07C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787F">
        <w:rPr>
          <w:rFonts w:ascii="Times New Roman" w:eastAsia="Times New Roman" w:hAnsi="Times New Roman" w:cs="Times New Roman"/>
          <w:sz w:val="24"/>
          <w:szCs w:val="24"/>
          <w:lang w:eastAsia="ru-RU"/>
        </w:rPr>
        <w:lastRenderedPageBreak/>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государственная программа «Обеспечение доступным и качественным жильем населения Амурской области на 2014–2020 годы» признана эффективной.</w:t>
      </w:r>
    </w:p>
    <w:p w:rsidR="001A4229" w:rsidRPr="005C1BE7" w:rsidRDefault="001A4229" w:rsidP="009C45F8">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9C45F8" w:rsidRPr="001A299F" w:rsidRDefault="009C45F8" w:rsidP="009C45F8">
      <w:pPr>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5.8. Исполнение расходов областного бюджета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 в рамках государственной программы «Экономическое развитие и инновационная экономика Амурской области на 2014-2020 годы»</w:t>
      </w:r>
    </w:p>
    <w:p w:rsidR="009C45F8" w:rsidRDefault="009C45F8" w:rsidP="009C45F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«Экономическое развитие и инновационная экономика Амурской области на 2014-2020 годы» утверждена постановлением Правительства Амурской области от 25.09.2013 № 445 (в редакции постановления Правительства Амурско</w:t>
      </w:r>
      <w:r>
        <w:rPr>
          <w:rFonts w:ascii="Times New Roman" w:eastAsia="Times New Roman" w:hAnsi="Times New Roman" w:cs="Times New Roman"/>
          <w:sz w:val="24"/>
          <w:szCs w:val="24"/>
          <w:lang w:eastAsia="ru-RU"/>
        </w:rPr>
        <w:t xml:space="preserve">й области от 29.12.2017 № 633). </w:t>
      </w:r>
      <w:r w:rsidRPr="001A299F">
        <w:rPr>
          <w:rFonts w:ascii="Times New Roman" w:eastAsia="Times New Roman" w:hAnsi="Times New Roman" w:cs="Times New Roman"/>
          <w:sz w:val="24"/>
          <w:szCs w:val="24"/>
          <w:lang w:eastAsia="ru-RU"/>
        </w:rPr>
        <w:t>Координатором государственной программы является министерство экономического развития Амурс</w:t>
      </w:r>
      <w:r>
        <w:rPr>
          <w:rFonts w:ascii="Times New Roman" w:eastAsia="Times New Roman" w:hAnsi="Times New Roman" w:cs="Times New Roman"/>
          <w:sz w:val="24"/>
          <w:szCs w:val="24"/>
          <w:lang w:eastAsia="ru-RU"/>
        </w:rPr>
        <w:t>кой области.</w:t>
      </w:r>
    </w:p>
    <w:p w:rsidR="009C45F8" w:rsidRPr="001A299F" w:rsidRDefault="009C45F8" w:rsidP="009C45F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Участниками программы являются министерство экономического развития Амурской области, министерство транспорта и строительства Амурской области, министерство внешнеэкономических связей, туризма и предпринимательства Амурской области, управление занятости населения Амурской области.</w:t>
      </w:r>
    </w:p>
    <w:p w:rsidR="009C45F8" w:rsidRPr="001A299F" w:rsidRDefault="009C45F8" w:rsidP="009C45F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pacing w:val="6"/>
          <w:sz w:val="24"/>
          <w:szCs w:val="24"/>
        </w:rPr>
        <w:t xml:space="preserve">Законом Амурской области </w:t>
      </w:r>
      <w:r w:rsidRPr="00813B33">
        <w:rPr>
          <w:rFonts w:ascii="Times New Roman" w:hAnsi="Times New Roman" w:cs="Times New Roman"/>
          <w:spacing w:val="6"/>
          <w:sz w:val="24"/>
          <w:szCs w:val="24"/>
        </w:rPr>
        <w:t xml:space="preserve">от 20.12.2016 № 27-ОЗ «Об областном бюджете на 2017 год и плановый период 2018 и 2019 годов» </w:t>
      </w:r>
      <w:r>
        <w:rPr>
          <w:rFonts w:ascii="Times New Roman" w:hAnsi="Times New Roman" w:cs="Times New Roman"/>
          <w:spacing w:val="6"/>
          <w:sz w:val="24"/>
          <w:szCs w:val="24"/>
        </w:rPr>
        <w:t>(ред. от 21.12.2017)</w:t>
      </w:r>
      <w:r w:rsidRPr="001A299F">
        <w:rPr>
          <w:rFonts w:ascii="Times New Roman" w:eastAsia="Times New Roman" w:hAnsi="Times New Roman" w:cs="Times New Roman"/>
          <w:sz w:val="24"/>
          <w:szCs w:val="24"/>
          <w:lang w:eastAsia="ru-RU"/>
        </w:rPr>
        <w:t xml:space="preserve"> на реализацию государственной программы «Экономическое развитие и инновационная экономика Амурской области на 2014-2020 годы» утверждены бюджетные ассигнования в сумме </w:t>
      </w:r>
      <w:r>
        <w:rPr>
          <w:rFonts w:ascii="Times New Roman" w:eastAsia="Times New Roman" w:hAnsi="Times New Roman" w:cs="Times New Roman"/>
          <w:sz w:val="24"/>
          <w:szCs w:val="24"/>
          <w:lang w:eastAsia="ru-RU"/>
        </w:rPr>
        <w:t>864775,9</w:t>
      </w:r>
      <w:r w:rsidRPr="001A299F">
        <w:rPr>
          <w:rFonts w:ascii="Times New Roman" w:eastAsia="Times New Roman" w:hAnsi="Times New Roman" w:cs="Times New Roman"/>
          <w:sz w:val="24"/>
          <w:szCs w:val="24"/>
          <w:lang w:eastAsia="ru-RU"/>
        </w:rPr>
        <w:t xml:space="preserve"> тыс. рублей.</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878635,9</w:t>
      </w:r>
      <w:r w:rsidRPr="001A299F">
        <w:rPr>
          <w:rFonts w:ascii="Times New Roman" w:eastAsia="Times New Roman" w:hAnsi="Times New Roman" w:cs="Times New Roman"/>
          <w:sz w:val="24"/>
          <w:szCs w:val="24"/>
          <w:lang w:eastAsia="ru-RU"/>
        </w:rPr>
        <w:t xml:space="preserve"> тыс. рублей.</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Отклонение бюджетных ассигнований, утвержденных законом об областном бюджете, от бюджетных ассигнований, утвержде</w:t>
      </w:r>
      <w:r w:rsidR="00DE4D4A">
        <w:rPr>
          <w:rFonts w:ascii="Times New Roman" w:eastAsia="Times New Roman" w:hAnsi="Times New Roman" w:cs="Times New Roman"/>
          <w:sz w:val="24"/>
          <w:szCs w:val="24"/>
          <w:lang w:eastAsia="ru-RU"/>
        </w:rPr>
        <w:t>12,</w:t>
      </w:r>
      <w:r w:rsidRPr="001A299F">
        <w:rPr>
          <w:rFonts w:ascii="Times New Roman" w:eastAsia="Times New Roman" w:hAnsi="Times New Roman" w:cs="Times New Roman"/>
          <w:sz w:val="24"/>
          <w:szCs w:val="24"/>
          <w:lang w:eastAsia="ru-RU"/>
        </w:rPr>
        <w:t xml:space="preserve">нных сводной бюджетной росписью, составляет </w:t>
      </w:r>
      <w:r>
        <w:rPr>
          <w:rFonts w:ascii="Times New Roman" w:eastAsia="Times New Roman" w:hAnsi="Times New Roman" w:cs="Times New Roman"/>
          <w:sz w:val="24"/>
          <w:szCs w:val="24"/>
          <w:lang w:eastAsia="ru-RU"/>
        </w:rPr>
        <w:t>13860,0</w:t>
      </w:r>
      <w:r w:rsidRPr="001A299F">
        <w:rPr>
          <w:rFonts w:ascii="Times New Roman" w:eastAsia="Times New Roman" w:hAnsi="Times New Roman" w:cs="Times New Roman"/>
          <w:sz w:val="24"/>
          <w:szCs w:val="24"/>
          <w:lang w:eastAsia="ru-RU"/>
        </w:rPr>
        <w:t xml:space="preserve"> тыс. рублей - средства федерального бюджета</w:t>
      </w:r>
      <w:r>
        <w:rPr>
          <w:rFonts w:ascii="Times New Roman" w:eastAsia="Times New Roman" w:hAnsi="Times New Roman" w:cs="Times New Roman"/>
          <w:sz w:val="24"/>
          <w:szCs w:val="24"/>
          <w:lang w:eastAsia="ru-RU"/>
        </w:rPr>
        <w:t xml:space="preserve"> на повышение мобильности трудовых ресурсов.</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на реализацию государственной программы, утвержденный постановлением Правительства Амурской области от 25.09.2013 № 445 (в редакции постановления Правительства Амурской области от </w:t>
      </w:r>
      <w:r>
        <w:rPr>
          <w:rFonts w:ascii="Times New Roman" w:eastAsia="Times New Roman" w:hAnsi="Times New Roman" w:cs="Times New Roman"/>
          <w:sz w:val="24"/>
          <w:szCs w:val="24"/>
          <w:lang w:eastAsia="ru-RU"/>
        </w:rPr>
        <w:t>29</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633</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864775,9</w:t>
      </w:r>
      <w:r w:rsidRPr="001A299F">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что соответствует бюджетным ассигнованиям, утвержденным законом об областном бюджете.</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w:t>
      </w:r>
      <w:r>
        <w:rPr>
          <w:rFonts w:ascii="Times New Roman" w:eastAsia="Times New Roman" w:hAnsi="Times New Roman" w:cs="Times New Roman"/>
          <w:sz w:val="24"/>
          <w:szCs w:val="24"/>
          <w:lang w:eastAsia="ru-RU"/>
        </w:rPr>
        <w:t>875952,0</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процента плановых назначений.</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«Экономическое развитие и инновационная экономика Амурской области на 2014-2020 годы» включает 7 подпрограмм.</w:t>
      </w:r>
    </w:p>
    <w:p w:rsidR="009C45F8" w:rsidRPr="00A3766A"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982">
        <w:rPr>
          <w:rFonts w:ascii="Times New Roman" w:eastAsia="Times New Roman" w:hAnsi="Times New Roman" w:cs="Times New Roman"/>
          <w:sz w:val="24"/>
          <w:szCs w:val="24"/>
          <w:lang w:eastAsia="ru-RU"/>
        </w:rPr>
        <w:t xml:space="preserve">В </w:t>
      </w:r>
      <w:r w:rsidRPr="00A3766A">
        <w:rPr>
          <w:rFonts w:ascii="Times New Roman" w:eastAsia="Times New Roman" w:hAnsi="Times New Roman" w:cs="Times New Roman"/>
          <w:sz w:val="24"/>
          <w:szCs w:val="24"/>
          <w:lang w:eastAsia="ru-RU"/>
        </w:rPr>
        <w:t>таблице 11 представлена информация об исполнении государственной программы «Экономическое развитие и инновационная экономика Амурской области на</w:t>
      </w:r>
      <w:r w:rsidRPr="00A3766A">
        <w:rPr>
          <w:rFonts w:ascii="Times New Roman" w:eastAsia="Times New Roman" w:hAnsi="Times New Roman" w:cs="Times New Roman"/>
          <w:sz w:val="24"/>
          <w:szCs w:val="24"/>
          <w:lang w:eastAsia="ru-RU"/>
        </w:rPr>
        <w:br/>
        <w:t>2014-2020 годы» в разрезе подпрограмм.</w:t>
      </w:r>
    </w:p>
    <w:p w:rsidR="009C45F8" w:rsidRPr="00A3766A" w:rsidRDefault="009C45F8" w:rsidP="009C45F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3766A">
        <w:rPr>
          <w:rFonts w:ascii="Times New Roman" w:eastAsia="Times New Roman" w:hAnsi="Times New Roman" w:cs="Times New Roman"/>
          <w:sz w:val="24"/>
          <w:szCs w:val="24"/>
          <w:lang w:eastAsia="ru-RU"/>
        </w:rPr>
        <w:t>Таблица 11</w:t>
      </w:r>
    </w:p>
    <w:p w:rsidR="009C45F8" w:rsidRPr="001A299F" w:rsidRDefault="009C45F8" w:rsidP="009C45F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Анализ исполнения государственной программы «Экономическое развитие и инновационная экономика Амурской области на 2014-2020 годы» в разрезе подпрограмм</w:t>
      </w:r>
    </w:p>
    <w:p w:rsidR="009C45F8" w:rsidRPr="001A299F" w:rsidRDefault="009C45F8" w:rsidP="009C45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10031" w:type="dxa"/>
        <w:tblLayout w:type="fixed"/>
        <w:tblLook w:val="04A0" w:firstRow="1" w:lastRow="0" w:firstColumn="1" w:lastColumn="0" w:noHBand="0" w:noVBand="1"/>
      </w:tblPr>
      <w:tblGrid>
        <w:gridCol w:w="4077"/>
        <w:gridCol w:w="1418"/>
        <w:gridCol w:w="1559"/>
        <w:gridCol w:w="1220"/>
        <w:gridCol w:w="1757"/>
      </w:tblGrid>
      <w:tr w:rsidR="009C45F8" w:rsidRPr="001A299F" w:rsidTr="009C45F8">
        <w:trPr>
          <w:tblHeader/>
        </w:trPr>
        <w:tc>
          <w:tcPr>
            <w:tcW w:w="4077"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418"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План</w:t>
            </w:r>
          </w:p>
        </w:tc>
        <w:tc>
          <w:tcPr>
            <w:tcW w:w="1559"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Исполнение</w:t>
            </w:r>
          </w:p>
        </w:tc>
        <w:tc>
          <w:tcPr>
            <w:tcW w:w="1220"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Уровень исполне-ния,%</w:t>
            </w:r>
          </w:p>
        </w:tc>
        <w:tc>
          <w:tcPr>
            <w:tcW w:w="1757"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9C45F8" w:rsidRPr="001A299F" w:rsidTr="009C45F8">
        <w:tc>
          <w:tcPr>
            <w:tcW w:w="4077" w:type="dxa"/>
          </w:tcPr>
          <w:p w:rsidR="009C45F8" w:rsidRPr="001A299F" w:rsidRDefault="009C45F8" w:rsidP="009C45F8">
            <w:pPr>
              <w:widowControl w:val="0"/>
              <w:autoSpaceDE w:val="0"/>
              <w:autoSpaceDN w:val="0"/>
              <w:adjustRightInd w:val="0"/>
              <w:rPr>
                <w:b/>
                <w:bCs/>
                <w:sz w:val="24"/>
                <w:szCs w:val="24"/>
              </w:rPr>
            </w:pPr>
            <w:r w:rsidRPr="001A299F">
              <w:rPr>
                <w:b/>
                <w:bCs/>
                <w:sz w:val="24"/>
                <w:szCs w:val="24"/>
              </w:rPr>
              <w:t xml:space="preserve">«Экономическое развитие и инновационная экономика Амурской области на </w:t>
            </w:r>
            <w:r w:rsidRPr="001A299F">
              <w:rPr>
                <w:b/>
                <w:bCs/>
                <w:sz w:val="24"/>
                <w:szCs w:val="24"/>
              </w:rPr>
              <w:br/>
            </w:r>
            <w:r w:rsidRPr="001A299F">
              <w:rPr>
                <w:b/>
                <w:bCs/>
                <w:sz w:val="24"/>
                <w:szCs w:val="24"/>
              </w:rPr>
              <w:lastRenderedPageBreak/>
              <w:t>2014-2020 годы</w:t>
            </w:r>
            <w:r w:rsidRPr="001A299F">
              <w:rPr>
                <w:b/>
                <w:sz w:val="24"/>
                <w:szCs w:val="24"/>
              </w:rPr>
              <w:t>»</w:t>
            </w:r>
            <w:r w:rsidRPr="001A299F">
              <w:rPr>
                <w:b/>
                <w:bCs/>
                <w:sz w:val="24"/>
                <w:szCs w:val="24"/>
              </w:rPr>
              <w:t xml:space="preserve">, </w:t>
            </w:r>
            <w:r w:rsidR="00A3766A" w:rsidRPr="001A299F">
              <w:rPr>
                <w:bCs/>
                <w:sz w:val="24"/>
                <w:szCs w:val="24"/>
              </w:rPr>
              <w:t>в том числе:</w:t>
            </w:r>
          </w:p>
        </w:tc>
        <w:tc>
          <w:tcPr>
            <w:tcW w:w="1418"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lastRenderedPageBreak/>
              <w:t>878635,9</w:t>
            </w:r>
          </w:p>
        </w:tc>
        <w:tc>
          <w:tcPr>
            <w:tcW w:w="1559"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lastRenderedPageBreak/>
              <w:t>875952,0</w:t>
            </w:r>
          </w:p>
        </w:tc>
        <w:tc>
          <w:tcPr>
            <w:tcW w:w="1220"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lastRenderedPageBreak/>
              <w:t>9</w:t>
            </w:r>
            <w:r>
              <w:rPr>
                <w:b/>
                <w:bCs/>
                <w:sz w:val="24"/>
                <w:szCs w:val="24"/>
              </w:rPr>
              <w:t>9</w:t>
            </w:r>
            <w:r w:rsidRPr="001A299F">
              <w:rPr>
                <w:b/>
                <w:bCs/>
                <w:sz w:val="24"/>
                <w:szCs w:val="24"/>
              </w:rPr>
              <w:t>,</w:t>
            </w:r>
            <w:r>
              <w:rPr>
                <w:b/>
                <w:bCs/>
                <w:sz w:val="24"/>
                <w:szCs w:val="24"/>
              </w:rPr>
              <w:t>7</w:t>
            </w:r>
          </w:p>
        </w:tc>
        <w:tc>
          <w:tcPr>
            <w:tcW w:w="1757" w:type="dxa"/>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lastRenderedPageBreak/>
              <w:t>2683,9</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lastRenderedPageBreak/>
              <w:t>Подпрограмма «Развитие экономического потенциала и формирование благоприятного инвестиционного климата на территории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54216,4</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54215,5</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9</w:t>
            </w:r>
            <w:r>
              <w:rPr>
                <w:sz w:val="24"/>
                <w:szCs w:val="24"/>
              </w:rPr>
              <w:t>9</w:t>
            </w:r>
            <w:r w:rsidRPr="001A299F">
              <w:rPr>
                <w:sz w:val="24"/>
                <w:szCs w:val="24"/>
              </w:rPr>
              <w:t>,</w:t>
            </w:r>
            <w:r>
              <w:rPr>
                <w:sz w:val="24"/>
                <w:szCs w:val="24"/>
              </w:rPr>
              <w:t>9</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0,9</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t>Подпрограмма «Развитие субъектов малого и среднего предпринимательства на территории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7064,3</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7064,3</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100,0</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t>Подпрограмма «Развитие внешнеэкономических и межрегиональных связей на территории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 xml:space="preserve"> </w:t>
            </w:r>
            <w:r>
              <w:rPr>
                <w:sz w:val="24"/>
                <w:szCs w:val="24"/>
              </w:rPr>
              <w:t>-</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t>Подпрограмма «Оказание содействия добровольному переселению в Амурскую область соотечественников, проживающих за рубежом»</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1752,1</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1750,0</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sidRPr="001A299F">
              <w:rPr>
                <w:sz w:val="24"/>
                <w:szCs w:val="24"/>
              </w:rPr>
              <w:t>99,</w:t>
            </w:r>
            <w:r>
              <w:rPr>
                <w:sz w:val="24"/>
                <w:szCs w:val="24"/>
              </w:rPr>
              <w:t>9</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2</w:t>
            </w:r>
            <w:r w:rsidRPr="001A299F">
              <w:rPr>
                <w:sz w:val="24"/>
                <w:szCs w:val="24"/>
              </w:rPr>
              <w:t>,</w:t>
            </w:r>
            <w:r>
              <w:rPr>
                <w:sz w:val="24"/>
                <w:szCs w:val="24"/>
              </w:rPr>
              <w:t>1</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t xml:space="preserve">Подпрограмма «Развитие внутреннего и въездного туризма в Амурской области» </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t>Подпрограмма «Содействие занятости населения Амурской области»</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698297,7</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696988,2</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99,8</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1309,5</w:t>
            </w:r>
          </w:p>
        </w:tc>
      </w:tr>
      <w:tr w:rsidR="009C45F8" w:rsidRPr="001A299F" w:rsidTr="009C45F8">
        <w:tc>
          <w:tcPr>
            <w:tcW w:w="4077" w:type="dxa"/>
          </w:tcPr>
          <w:p w:rsidR="009C45F8" w:rsidRPr="001A299F" w:rsidRDefault="009C45F8" w:rsidP="00A3766A">
            <w:pPr>
              <w:widowControl w:val="0"/>
              <w:autoSpaceDE w:val="0"/>
              <w:autoSpaceDN w:val="0"/>
              <w:adjustRightInd w:val="0"/>
              <w:rPr>
                <w:sz w:val="24"/>
                <w:szCs w:val="24"/>
              </w:rPr>
            </w:pPr>
            <w:r w:rsidRPr="001A299F">
              <w:rPr>
                <w:sz w:val="24"/>
                <w:szCs w:val="24"/>
              </w:rPr>
              <w:t xml:space="preserve">Подпрограмма «Обеспечение реализации основных направлений государственной политики Амурской области в отдельных сферах государственного управления» </w:t>
            </w:r>
          </w:p>
        </w:tc>
        <w:tc>
          <w:tcPr>
            <w:tcW w:w="1418"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117305,4</w:t>
            </w:r>
          </w:p>
        </w:tc>
        <w:tc>
          <w:tcPr>
            <w:tcW w:w="1559"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115934,0</w:t>
            </w:r>
          </w:p>
        </w:tc>
        <w:tc>
          <w:tcPr>
            <w:tcW w:w="1220"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98,8</w:t>
            </w:r>
          </w:p>
        </w:tc>
        <w:tc>
          <w:tcPr>
            <w:tcW w:w="1757" w:type="dxa"/>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1371,4</w:t>
            </w:r>
          </w:p>
        </w:tc>
      </w:tr>
    </w:tbl>
    <w:p w:rsidR="009C45F8" w:rsidRDefault="009C45F8" w:rsidP="009C45F8">
      <w:pPr>
        <w:widowControl w:val="0"/>
        <w:autoSpaceDE w:val="0"/>
        <w:autoSpaceDN w:val="0"/>
        <w:adjustRightInd w:val="0"/>
        <w:spacing w:before="120" w:after="0" w:line="240" w:lineRule="auto"/>
        <w:ind w:left="360"/>
        <w:contextualSpacing/>
        <w:jc w:val="both"/>
        <w:rPr>
          <w:rFonts w:ascii="Times New Roman" w:eastAsia="Times New Roman" w:hAnsi="Times New Roman" w:cs="Times New Roman"/>
          <w:i/>
          <w:sz w:val="24"/>
          <w:szCs w:val="24"/>
          <w:lang w:eastAsia="ru-RU"/>
        </w:rPr>
      </w:pPr>
    </w:p>
    <w:p w:rsidR="009C45F8" w:rsidRPr="001A299F" w:rsidRDefault="009C45F8" w:rsidP="005B2272">
      <w:pPr>
        <w:widowControl w:val="0"/>
        <w:numPr>
          <w:ilvl w:val="0"/>
          <w:numId w:val="6"/>
        </w:numPr>
        <w:tabs>
          <w:tab w:val="left" w:pos="993"/>
        </w:tabs>
        <w:autoSpaceDE w:val="0"/>
        <w:autoSpaceDN w:val="0"/>
        <w:adjustRightInd w:val="0"/>
        <w:spacing w:after="0" w:line="214"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экономичес</w:t>
      </w:r>
      <w:r>
        <w:rPr>
          <w:rFonts w:ascii="Times New Roman" w:eastAsia="Times New Roman" w:hAnsi="Times New Roman" w:cs="Times New Roman"/>
          <w:i/>
          <w:sz w:val="24"/>
          <w:szCs w:val="24"/>
          <w:lang w:eastAsia="ru-RU"/>
        </w:rPr>
        <w:t>кого потенциала и формирование</w:t>
      </w:r>
      <w:r w:rsidRPr="001A299F">
        <w:rPr>
          <w:rFonts w:ascii="Times New Roman" w:eastAsia="Times New Roman" w:hAnsi="Times New Roman" w:cs="Times New Roman"/>
          <w:i/>
          <w:sz w:val="24"/>
          <w:szCs w:val="24"/>
          <w:lang w:eastAsia="ru-RU"/>
        </w:rPr>
        <w:t xml:space="preserve"> благоприятного инвестиционного климата на территории Амурской области»</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экономического потенциала и формирование благоприятного инвестиционного климата на территории Амурской области» утверждены в расходах областного бюджета в сумме </w:t>
      </w:r>
      <w:r>
        <w:rPr>
          <w:rFonts w:ascii="Times New Roman" w:hAnsi="Times New Roman" w:cs="Times New Roman"/>
          <w:sz w:val="24"/>
          <w:szCs w:val="24"/>
        </w:rPr>
        <w:t>54216,4</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t>6</w:t>
      </w:r>
      <w:r w:rsidRPr="001A299F">
        <w:rPr>
          <w:rFonts w:ascii="Times New Roman" w:hAnsi="Times New Roman" w:cs="Times New Roman"/>
          <w:sz w:val="24"/>
          <w:szCs w:val="24"/>
        </w:rPr>
        <w:t>,</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p>
    <w:p w:rsidR="009C45F8" w:rsidRDefault="009C45F8" w:rsidP="005B2272">
      <w:pPr>
        <w:spacing w:after="0" w:line="214"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Наибольший объем бюджетных ассигнований, предусмотренных на реализацию данной подпрограммы, приходится на мероприятие –</w:t>
      </w:r>
      <w:r>
        <w:rPr>
          <w:rFonts w:ascii="Times New Roman" w:eastAsia="Times New Roman" w:hAnsi="Times New Roman" w:cs="Times New Roman"/>
          <w:sz w:val="24"/>
          <w:szCs w:val="24"/>
          <w:lang w:eastAsia="ru-RU"/>
        </w:rPr>
        <w:t xml:space="preserve"> имущественный взнос Амурской области в автономную организацию «Агентство Амурской области по привлечению инвестиций»</w:t>
      </w:r>
      <w:r w:rsidRPr="001A299F">
        <w:rPr>
          <w:rFonts w:ascii="Times New Roman" w:eastAsia="Times New Roman" w:hAnsi="Times New Roman" w:cs="Times New Roman"/>
          <w:sz w:val="24"/>
          <w:szCs w:val="24"/>
          <w:lang w:eastAsia="ru-RU"/>
        </w:rPr>
        <w:t>, которое исполнено в полном объеме.</w:t>
      </w:r>
    </w:p>
    <w:p w:rsidR="009C45F8" w:rsidRPr="00E75F29" w:rsidRDefault="009C45F8" w:rsidP="005B2272">
      <w:pPr>
        <w:pStyle w:val="afa"/>
        <w:numPr>
          <w:ilvl w:val="0"/>
          <w:numId w:val="6"/>
        </w:numPr>
        <w:spacing w:line="214" w:lineRule="auto"/>
        <w:ind w:left="0" w:firstLine="709"/>
        <w:jc w:val="both"/>
        <w:rPr>
          <w:i/>
          <w:sz w:val="24"/>
          <w:szCs w:val="24"/>
        </w:rPr>
      </w:pPr>
      <w:r w:rsidRPr="00E75F29">
        <w:rPr>
          <w:i/>
          <w:sz w:val="24"/>
          <w:szCs w:val="24"/>
        </w:rPr>
        <w:t>Подпрограмма «Развитие субъектов малого и среднего предпринимательства на территории Амурской области»</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субъектов малого и среднего предпринимательства на территории Амурской области» утверждены в расходах областного бюджета в сумме </w:t>
      </w:r>
      <w:r>
        <w:rPr>
          <w:rFonts w:ascii="Times New Roman" w:hAnsi="Times New Roman" w:cs="Times New Roman"/>
          <w:sz w:val="24"/>
          <w:szCs w:val="24"/>
        </w:rPr>
        <w:t>7064,3</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0</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lastRenderedPageBreak/>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100,0</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1A299F">
        <w:rPr>
          <w:rFonts w:ascii="Times New Roman" w:hAnsi="Times New Roman" w:cs="Times New Roman"/>
          <w:sz w:val="24"/>
          <w:szCs w:val="24"/>
        </w:rPr>
        <w:t xml:space="preserve"> плановых назначений.</w:t>
      </w:r>
    </w:p>
    <w:p w:rsidR="009C45F8" w:rsidRPr="001A299F" w:rsidRDefault="009C45F8" w:rsidP="005B2272">
      <w:pPr>
        <w:autoSpaceDE w:val="0"/>
        <w:autoSpaceDN w:val="0"/>
        <w:adjustRightInd w:val="0"/>
        <w:spacing w:after="0" w:line="21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2017 году в рамках реализации подпрограммы </w:t>
      </w:r>
      <w:r w:rsidRPr="001A299F">
        <w:rPr>
          <w:rFonts w:ascii="Times New Roman" w:hAnsi="Times New Roman" w:cs="Times New Roman"/>
          <w:sz w:val="24"/>
          <w:szCs w:val="24"/>
        </w:rPr>
        <w:t xml:space="preserve"> </w:t>
      </w:r>
      <w:r w:rsidRPr="004F151E">
        <w:rPr>
          <w:rFonts w:ascii="Times New Roman" w:hAnsi="Times New Roman" w:cs="Times New Roman"/>
          <w:sz w:val="24"/>
          <w:szCs w:val="24"/>
        </w:rPr>
        <w:t>осуществлялись</w:t>
      </w:r>
      <w:r>
        <w:rPr>
          <w:rFonts w:ascii="Times New Roman" w:hAnsi="Times New Roman" w:cs="Times New Roman"/>
          <w:sz w:val="24"/>
          <w:szCs w:val="24"/>
        </w:rPr>
        <w:t xml:space="preserve"> </w:t>
      </w:r>
      <w:r w:rsidRPr="001A299F">
        <w:rPr>
          <w:rFonts w:ascii="Times New Roman" w:hAnsi="Times New Roman" w:cs="Times New Roman"/>
          <w:sz w:val="24"/>
          <w:szCs w:val="24"/>
        </w:rPr>
        <w:t>следующи</w:t>
      </w:r>
      <w:r>
        <w:rPr>
          <w:rFonts w:ascii="Times New Roman" w:hAnsi="Times New Roman" w:cs="Times New Roman"/>
          <w:sz w:val="24"/>
          <w:szCs w:val="24"/>
        </w:rPr>
        <w:t>е</w:t>
      </w:r>
      <w:r w:rsidRPr="001A299F">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1A299F">
        <w:rPr>
          <w:rFonts w:ascii="Times New Roman" w:hAnsi="Times New Roman" w:cs="Times New Roman"/>
          <w:sz w:val="24"/>
          <w:szCs w:val="24"/>
        </w:rPr>
        <w:t>:</w:t>
      </w:r>
    </w:p>
    <w:p w:rsidR="009C45F8" w:rsidRPr="00125393" w:rsidRDefault="009C45F8" w:rsidP="005B2272">
      <w:pPr>
        <w:pStyle w:val="afa"/>
        <w:numPr>
          <w:ilvl w:val="0"/>
          <w:numId w:val="13"/>
        </w:numPr>
        <w:tabs>
          <w:tab w:val="left" w:pos="993"/>
        </w:tabs>
        <w:spacing w:line="214" w:lineRule="auto"/>
        <w:ind w:left="0" w:firstLine="709"/>
        <w:jc w:val="both"/>
        <w:rPr>
          <w:sz w:val="24"/>
          <w:szCs w:val="24"/>
        </w:rPr>
      </w:pPr>
      <w:r w:rsidRPr="00125393">
        <w:rPr>
          <w:sz w:val="24"/>
          <w:szCs w:val="24"/>
        </w:rPr>
        <w:t xml:space="preserve">государственная поддержка малого и среднего предпринимательства, включая крестьянские (фермерские) хозяйства (в части субсидии местным бюджетам на поддержку и развитие субъектов малого и среднего предпринимательства, включая крестьянские (фермерские) хозяйства) – </w:t>
      </w:r>
      <w:r>
        <w:rPr>
          <w:sz w:val="24"/>
          <w:szCs w:val="24"/>
        </w:rPr>
        <w:t>3729,5</w:t>
      </w:r>
      <w:r w:rsidRPr="00125393">
        <w:rPr>
          <w:sz w:val="24"/>
          <w:szCs w:val="24"/>
        </w:rPr>
        <w:t xml:space="preserve"> тыс. рублей, исполнение за 201</w:t>
      </w:r>
      <w:r>
        <w:rPr>
          <w:sz w:val="24"/>
          <w:szCs w:val="24"/>
        </w:rPr>
        <w:t>7</w:t>
      </w:r>
      <w:r w:rsidRPr="00125393">
        <w:rPr>
          <w:sz w:val="24"/>
          <w:szCs w:val="24"/>
        </w:rPr>
        <w:t xml:space="preserve"> год составляет </w:t>
      </w:r>
      <w:r>
        <w:rPr>
          <w:sz w:val="24"/>
          <w:szCs w:val="24"/>
        </w:rPr>
        <w:t>3729,5</w:t>
      </w:r>
      <w:r w:rsidRPr="00125393">
        <w:rPr>
          <w:sz w:val="24"/>
          <w:szCs w:val="24"/>
        </w:rPr>
        <w:t xml:space="preserve"> тыс. рублей, или </w:t>
      </w:r>
      <w:r>
        <w:rPr>
          <w:sz w:val="24"/>
          <w:szCs w:val="24"/>
        </w:rPr>
        <w:t>100,0</w:t>
      </w:r>
      <w:r w:rsidRPr="00125393">
        <w:rPr>
          <w:sz w:val="24"/>
          <w:szCs w:val="24"/>
        </w:rPr>
        <w:t xml:space="preserve"> процент</w:t>
      </w:r>
      <w:r>
        <w:rPr>
          <w:sz w:val="24"/>
          <w:szCs w:val="24"/>
        </w:rPr>
        <w:t>ов плановых назначений</w:t>
      </w:r>
      <w:r w:rsidRPr="002009AC">
        <w:rPr>
          <w:sz w:val="24"/>
          <w:szCs w:val="24"/>
        </w:rPr>
        <w:t>;</w:t>
      </w:r>
      <w:r w:rsidRPr="00125393">
        <w:rPr>
          <w:sz w:val="24"/>
          <w:szCs w:val="24"/>
        </w:rPr>
        <w:t xml:space="preserve"> </w:t>
      </w:r>
    </w:p>
    <w:p w:rsidR="009C45F8" w:rsidRDefault="009C45F8" w:rsidP="005B2272">
      <w:pPr>
        <w:pStyle w:val="afa"/>
        <w:numPr>
          <w:ilvl w:val="0"/>
          <w:numId w:val="13"/>
        </w:numPr>
        <w:tabs>
          <w:tab w:val="left" w:pos="993"/>
        </w:tabs>
        <w:spacing w:line="214" w:lineRule="auto"/>
        <w:ind w:left="0" w:firstLine="709"/>
        <w:jc w:val="both"/>
        <w:rPr>
          <w:sz w:val="24"/>
          <w:szCs w:val="24"/>
        </w:rPr>
      </w:pPr>
      <w:r w:rsidRPr="00125393">
        <w:rPr>
          <w:sz w:val="24"/>
          <w:szCs w:val="24"/>
        </w:rPr>
        <w:t>государственная поддержка малого и среднего предпринимательства, включая крестьянские (фермерские) хозяйства (в части</w:t>
      </w:r>
      <w:r>
        <w:rPr>
          <w:sz w:val="24"/>
          <w:szCs w:val="24"/>
        </w:rPr>
        <w:t xml:space="preserve"> субсидии некоммерческим организациям на создание и (или) развитие центров поддержки предпринимательства</w:t>
      </w:r>
      <w:r w:rsidRPr="00125393">
        <w:rPr>
          <w:sz w:val="24"/>
          <w:szCs w:val="24"/>
        </w:rPr>
        <w:t xml:space="preserve">) – </w:t>
      </w:r>
      <w:r>
        <w:rPr>
          <w:sz w:val="24"/>
          <w:szCs w:val="24"/>
        </w:rPr>
        <w:t>3334,8</w:t>
      </w:r>
      <w:r w:rsidRPr="00125393">
        <w:rPr>
          <w:sz w:val="24"/>
          <w:szCs w:val="24"/>
        </w:rPr>
        <w:t xml:space="preserve"> тыс.</w:t>
      </w:r>
      <w:r>
        <w:rPr>
          <w:sz w:val="24"/>
          <w:szCs w:val="24"/>
        </w:rPr>
        <w:t xml:space="preserve"> рублей</w:t>
      </w:r>
      <w:r w:rsidRPr="00125393">
        <w:rPr>
          <w:sz w:val="24"/>
          <w:szCs w:val="24"/>
        </w:rPr>
        <w:t xml:space="preserve">, исполнение составляет </w:t>
      </w:r>
      <w:r>
        <w:rPr>
          <w:sz w:val="24"/>
          <w:szCs w:val="24"/>
        </w:rPr>
        <w:t>3334,8</w:t>
      </w:r>
      <w:r w:rsidRPr="00125393">
        <w:rPr>
          <w:sz w:val="24"/>
          <w:szCs w:val="24"/>
        </w:rPr>
        <w:t xml:space="preserve"> тыс. рублей, или 100,0 процентов плановых назначений.</w:t>
      </w:r>
    </w:p>
    <w:p w:rsidR="009C45F8" w:rsidRPr="00D36BA6" w:rsidRDefault="009C45F8" w:rsidP="005B2272">
      <w:pPr>
        <w:pStyle w:val="afa"/>
        <w:numPr>
          <w:ilvl w:val="0"/>
          <w:numId w:val="6"/>
        </w:numPr>
        <w:spacing w:line="214" w:lineRule="auto"/>
        <w:ind w:left="0" w:firstLine="709"/>
        <w:jc w:val="both"/>
        <w:rPr>
          <w:i/>
          <w:sz w:val="24"/>
          <w:szCs w:val="24"/>
        </w:rPr>
      </w:pPr>
      <w:r w:rsidRPr="006628FA">
        <w:rPr>
          <w:i/>
          <w:sz w:val="24"/>
          <w:szCs w:val="24"/>
        </w:rPr>
        <w:t>Подпрограмма</w:t>
      </w:r>
      <w:r w:rsidRPr="0020568C">
        <w:rPr>
          <w:i/>
          <w:color w:val="FF0000"/>
          <w:sz w:val="24"/>
          <w:szCs w:val="24"/>
        </w:rPr>
        <w:t xml:space="preserve"> </w:t>
      </w:r>
      <w:r w:rsidRPr="00D36BA6">
        <w:rPr>
          <w:i/>
          <w:sz w:val="24"/>
          <w:szCs w:val="24"/>
        </w:rPr>
        <w:t>«Развитие внешнеэкономических и межре</w:t>
      </w:r>
      <w:r w:rsidR="00A3766A">
        <w:rPr>
          <w:i/>
          <w:sz w:val="24"/>
          <w:szCs w:val="24"/>
        </w:rPr>
        <w:t>гиональных связей на территории</w:t>
      </w:r>
      <w:r w:rsidRPr="00D36BA6">
        <w:rPr>
          <w:i/>
          <w:sz w:val="24"/>
          <w:szCs w:val="24"/>
        </w:rPr>
        <w:t xml:space="preserve"> Амурской области»</w:t>
      </w:r>
    </w:p>
    <w:p w:rsidR="009C45F8"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внешнеэкономических и межрегиональных связей на территории Амурской области» в расходах областного бюджета </w:t>
      </w:r>
      <w:r>
        <w:rPr>
          <w:rFonts w:ascii="Times New Roman" w:hAnsi="Times New Roman" w:cs="Times New Roman"/>
          <w:sz w:val="24"/>
          <w:szCs w:val="24"/>
        </w:rPr>
        <w:t>на 2017 год не предусмотрены.</w:t>
      </w:r>
    </w:p>
    <w:p w:rsidR="009C45F8" w:rsidRPr="001A299F" w:rsidRDefault="009C45F8" w:rsidP="005B2272">
      <w:pPr>
        <w:widowControl w:val="0"/>
        <w:numPr>
          <w:ilvl w:val="0"/>
          <w:numId w:val="6"/>
        </w:numPr>
        <w:autoSpaceDE w:val="0"/>
        <w:autoSpaceDN w:val="0"/>
        <w:adjustRightInd w:val="0"/>
        <w:spacing w:after="0" w:line="214"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«Оказание содействия добровольному переселению в Амурскую область соотечественников, проживающих за рубежом»</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«Оказание содействия добровольному переселению в Амурскую область соотечественников, проживающих за рубежом» утверждены в расходах областного бюджета в сумме </w:t>
      </w:r>
      <w:r>
        <w:rPr>
          <w:rFonts w:ascii="Times New Roman" w:hAnsi="Times New Roman" w:cs="Times New Roman"/>
          <w:sz w:val="24"/>
          <w:szCs w:val="24"/>
        </w:rPr>
        <w:t>1752,1</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0,</w:t>
      </w:r>
      <w:r>
        <w:rPr>
          <w:rFonts w:ascii="Times New Roman" w:hAnsi="Times New Roman" w:cs="Times New Roman"/>
          <w:sz w:val="24"/>
          <w:szCs w:val="24"/>
        </w:rPr>
        <w:t>2</w:t>
      </w:r>
      <w:r w:rsidRPr="001A299F">
        <w:rPr>
          <w:rFonts w:ascii="Times New Roman" w:hAnsi="Times New Roman" w:cs="Times New Roman"/>
          <w:sz w:val="24"/>
          <w:szCs w:val="24"/>
        </w:rPr>
        <w:t xml:space="preserve"> процента.</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w:t>
      </w:r>
      <w:r>
        <w:rPr>
          <w:rFonts w:ascii="Times New Roman" w:hAnsi="Times New Roman" w:cs="Times New Roman"/>
          <w:sz w:val="24"/>
          <w:szCs w:val="24"/>
        </w:rPr>
        <w:t>9</w:t>
      </w:r>
      <w:r w:rsidRPr="001A299F">
        <w:rPr>
          <w:rFonts w:ascii="Times New Roman" w:hAnsi="Times New Roman" w:cs="Times New Roman"/>
          <w:sz w:val="24"/>
          <w:szCs w:val="24"/>
        </w:rPr>
        <w:t xml:space="preserve"> процента плановых назначений</w:t>
      </w:r>
      <w:r>
        <w:rPr>
          <w:rFonts w:ascii="Times New Roman" w:hAnsi="Times New Roman" w:cs="Times New Roman"/>
          <w:sz w:val="24"/>
          <w:szCs w:val="24"/>
        </w:rPr>
        <w:t>, или 1750,0 тыс. рублей</w:t>
      </w:r>
      <w:r w:rsidRPr="001A299F">
        <w:rPr>
          <w:rFonts w:ascii="Times New Roman" w:hAnsi="Times New Roman" w:cs="Times New Roman"/>
          <w:sz w:val="24"/>
          <w:szCs w:val="24"/>
        </w:rPr>
        <w:t>.</w:t>
      </w:r>
    </w:p>
    <w:p w:rsidR="009C45F8"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По данной подпрограмме в 201</w:t>
      </w:r>
      <w:r>
        <w:rPr>
          <w:rFonts w:ascii="Times New Roman" w:hAnsi="Times New Roman" w:cs="Times New Roman"/>
          <w:sz w:val="24"/>
          <w:szCs w:val="24"/>
        </w:rPr>
        <w:t>7</w:t>
      </w:r>
      <w:r w:rsidRPr="001A299F">
        <w:rPr>
          <w:rFonts w:ascii="Times New Roman" w:hAnsi="Times New Roman" w:cs="Times New Roman"/>
          <w:sz w:val="24"/>
          <w:szCs w:val="24"/>
        </w:rPr>
        <w:t xml:space="preserve"> году осуществлялось финансирование программного мероприятия </w:t>
      </w:r>
      <w:r>
        <w:rPr>
          <w:rFonts w:ascii="Times New Roman" w:hAnsi="Times New Roman" w:cs="Times New Roman"/>
          <w:sz w:val="24"/>
          <w:szCs w:val="24"/>
        </w:rPr>
        <w:t xml:space="preserve">- </w:t>
      </w:r>
      <w:r w:rsidRPr="001A299F">
        <w:rPr>
          <w:rFonts w:ascii="Times New Roman" w:hAnsi="Times New Roman" w:cs="Times New Roman"/>
          <w:sz w:val="24"/>
          <w:szCs w:val="24"/>
        </w:rPr>
        <w:t>реализаци</w:t>
      </w:r>
      <w:r>
        <w:rPr>
          <w:rFonts w:ascii="Times New Roman" w:hAnsi="Times New Roman" w:cs="Times New Roman"/>
          <w:sz w:val="24"/>
          <w:szCs w:val="24"/>
        </w:rPr>
        <w:t>я</w:t>
      </w:r>
      <w:r w:rsidRPr="001A299F">
        <w:rPr>
          <w:rFonts w:ascii="Times New Roman" w:hAnsi="Times New Roman" w:cs="Times New Roman"/>
          <w:sz w:val="24"/>
          <w:szCs w:val="24"/>
        </w:rPr>
        <w:t xml:space="preserve">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sz w:val="24"/>
          <w:szCs w:val="24"/>
        </w:rPr>
        <w:t>.</w:t>
      </w:r>
    </w:p>
    <w:p w:rsidR="009C45F8" w:rsidRPr="001A299F" w:rsidRDefault="009C45F8" w:rsidP="005B2272">
      <w:pPr>
        <w:spacing w:after="0" w:line="214" w:lineRule="auto"/>
        <w:ind w:firstLine="709"/>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внутреннего и въездного туризма в Амурской области»</w:t>
      </w:r>
    </w:p>
    <w:p w:rsidR="009C45F8"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внутреннего и въездного туризма в Амурской области» в расходах областного бюджета </w:t>
      </w:r>
      <w:r>
        <w:rPr>
          <w:rFonts w:ascii="Times New Roman" w:hAnsi="Times New Roman" w:cs="Times New Roman"/>
          <w:sz w:val="24"/>
          <w:szCs w:val="24"/>
        </w:rPr>
        <w:t>на 2017 год не предусмотрены.</w:t>
      </w:r>
    </w:p>
    <w:p w:rsidR="009C45F8" w:rsidRPr="001A299F" w:rsidRDefault="009C45F8" w:rsidP="005B2272">
      <w:pPr>
        <w:spacing w:after="0" w:line="214" w:lineRule="auto"/>
        <w:ind w:firstLine="709"/>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«Содействие занятости населения Амурской области»</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«Содействие занятости населения Амурской области» утверждены в расходах областного бюджета в сумме </w:t>
      </w:r>
      <w:r>
        <w:rPr>
          <w:rFonts w:ascii="Times New Roman" w:hAnsi="Times New Roman" w:cs="Times New Roman"/>
          <w:sz w:val="24"/>
          <w:szCs w:val="24"/>
        </w:rPr>
        <w:t>698297,7</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t>79,5</w:t>
      </w:r>
      <w:r w:rsidRPr="001A299F">
        <w:rPr>
          <w:rFonts w:ascii="Times New Roman" w:hAnsi="Times New Roman" w:cs="Times New Roman"/>
          <w:sz w:val="24"/>
          <w:szCs w:val="24"/>
        </w:rPr>
        <w:t xml:space="preserve"> процента.</w:t>
      </w:r>
    </w:p>
    <w:p w:rsidR="009C45F8" w:rsidRPr="001A299F"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w:t>
      </w:r>
      <w:r>
        <w:rPr>
          <w:rFonts w:ascii="Times New Roman" w:hAnsi="Times New Roman" w:cs="Times New Roman"/>
          <w:sz w:val="24"/>
          <w:szCs w:val="24"/>
        </w:rPr>
        <w:t>9</w:t>
      </w:r>
      <w:r w:rsidRPr="001A299F">
        <w:rPr>
          <w:rFonts w:ascii="Times New Roman" w:hAnsi="Times New Roman" w:cs="Times New Roman"/>
          <w:sz w:val="24"/>
          <w:szCs w:val="24"/>
        </w:rPr>
        <w:t>,</w:t>
      </w:r>
      <w:r>
        <w:rPr>
          <w:rFonts w:ascii="Times New Roman" w:hAnsi="Times New Roman" w:cs="Times New Roman"/>
          <w:sz w:val="24"/>
          <w:szCs w:val="24"/>
        </w:rPr>
        <w:t>8</w:t>
      </w:r>
      <w:r w:rsidRPr="001A299F">
        <w:rPr>
          <w:rFonts w:ascii="Times New Roman" w:hAnsi="Times New Roman" w:cs="Times New Roman"/>
          <w:sz w:val="24"/>
          <w:szCs w:val="24"/>
        </w:rPr>
        <w:t xml:space="preserve"> процента плановых назначений.</w:t>
      </w:r>
    </w:p>
    <w:p w:rsidR="009C45F8" w:rsidRDefault="009C45F8" w:rsidP="005B2272">
      <w:pPr>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proofErr w:type="gramStart"/>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r>
        <w:rPr>
          <w:rFonts w:ascii="Times New Roman" w:hAnsi="Times New Roman" w:cs="Times New Roman"/>
          <w:sz w:val="24"/>
          <w:szCs w:val="24"/>
        </w:rPr>
        <w:t xml:space="preserve"> </w:t>
      </w:r>
      <w:r w:rsidRPr="001A299F">
        <w:rPr>
          <w:rFonts w:ascii="Times New Roman" w:eastAsia="Times New Roman" w:hAnsi="Times New Roman" w:cs="Times New Roman"/>
          <w:sz w:val="24"/>
          <w:szCs w:val="24"/>
          <w:lang w:eastAsia="ru-RU"/>
        </w:rPr>
        <w:t xml:space="preserve">социальные выплаты безработным гражданам – </w:t>
      </w:r>
      <w:r>
        <w:rPr>
          <w:rFonts w:ascii="Times New Roman" w:eastAsia="Times New Roman" w:hAnsi="Times New Roman" w:cs="Times New Roman"/>
          <w:sz w:val="24"/>
          <w:szCs w:val="24"/>
          <w:lang w:eastAsia="ru-RU"/>
        </w:rPr>
        <w:t>51511</w:t>
      </w:r>
      <w:r w:rsidR="00E4092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тыс. рублей, исполнение составляет – </w:t>
      </w:r>
      <w:r>
        <w:rPr>
          <w:rFonts w:ascii="Times New Roman" w:eastAsia="Times New Roman" w:hAnsi="Times New Roman" w:cs="Times New Roman"/>
          <w:sz w:val="24"/>
          <w:szCs w:val="24"/>
          <w:lang w:eastAsia="ru-RU"/>
        </w:rPr>
        <w:t>514188,9</w:t>
      </w:r>
      <w:r w:rsidRPr="001A299F">
        <w:rPr>
          <w:rFonts w:ascii="Times New Roman" w:eastAsia="Times New Roman" w:hAnsi="Times New Roman" w:cs="Times New Roman"/>
          <w:sz w:val="24"/>
          <w:szCs w:val="24"/>
          <w:lang w:eastAsia="ru-RU"/>
        </w:rPr>
        <w:t xml:space="preserve"> тыс. рублей, или 99,</w:t>
      </w:r>
      <w:r>
        <w:rPr>
          <w:rFonts w:ascii="Times New Roman" w:eastAsia="Times New Roman" w:hAnsi="Times New Roman" w:cs="Times New Roman"/>
          <w:sz w:val="24"/>
          <w:szCs w:val="24"/>
          <w:lang w:eastAsia="ru-RU"/>
        </w:rPr>
        <w:t>8</w:t>
      </w:r>
      <w:r w:rsidRPr="001A299F">
        <w:rPr>
          <w:rFonts w:ascii="Times New Roman" w:eastAsia="Times New Roman" w:hAnsi="Times New Roman" w:cs="Times New Roman"/>
          <w:sz w:val="24"/>
          <w:szCs w:val="24"/>
          <w:lang w:eastAsia="ru-RU"/>
        </w:rPr>
        <w:t xml:space="preserve"> процента плановых назначений;</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обеспечение деятельности (оказание услуг) государственных учреждений – </w:t>
      </w:r>
      <w:r>
        <w:rPr>
          <w:rFonts w:ascii="Times New Roman" w:eastAsia="Times New Roman" w:hAnsi="Times New Roman" w:cs="Times New Roman"/>
          <w:sz w:val="24"/>
          <w:szCs w:val="24"/>
          <w:lang w:eastAsia="ru-RU"/>
        </w:rPr>
        <w:t>158700,0</w:t>
      </w:r>
      <w:r w:rsidRPr="001A299F">
        <w:rPr>
          <w:rFonts w:ascii="Times New Roman" w:eastAsia="Times New Roman" w:hAnsi="Times New Roman" w:cs="Times New Roman"/>
          <w:sz w:val="24"/>
          <w:szCs w:val="24"/>
          <w:lang w:eastAsia="ru-RU"/>
        </w:rPr>
        <w:t xml:space="preserve"> тыс. рублей, исполнение – </w:t>
      </w:r>
      <w:r>
        <w:rPr>
          <w:rFonts w:ascii="Times New Roman" w:eastAsia="Times New Roman" w:hAnsi="Times New Roman" w:cs="Times New Roman"/>
          <w:sz w:val="24"/>
          <w:szCs w:val="24"/>
          <w:lang w:eastAsia="ru-RU"/>
        </w:rPr>
        <w:t>158538,1</w:t>
      </w:r>
      <w:r w:rsidRPr="001A299F">
        <w:rPr>
          <w:rFonts w:ascii="Times New Roman" w:eastAsia="Times New Roman" w:hAnsi="Times New Roman" w:cs="Times New Roman"/>
          <w:sz w:val="24"/>
          <w:szCs w:val="24"/>
          <w:lang w:eastAsia="ru-RU"/>
        </w:rPr>
        <w:t xml:space="preserve"> тыс. рублей, или 9</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1A299F">
        <w:rPr>
          <w:rFonts w:ascii="Times New Roman" w:eastAsia="Times New Roman" w:hAnsi="Times New Roman" w:cs="Times New Roman"/>
          <w:sz w:val="24"/>
          <w:szCs w:val="24"/>
          <w:lang w:eastAsia="ru-RU"/>
        </w:rPr>
        <w:t>.</w:t>
      </w:r>
      <w:proofErr w:type="gramEnd"/>
    </w:p>
    <w:p w:rsidR="009C45F8" w:rsidRPr="001A299F" w:rsidRDefault="009C45F8" w:rsidP="005B2272">
      <w:pPr>
        <w:widowControl w:val="0"/>
        <w:numPr>
          <w:ilvl w:val="1"/>
          <w:numId w:val="6"/>
        </w:numPr>
        <w:tabs>
          <w:tab w:val="left" w:pos="993"/>
        </w:tabs>
        <w:autoSpaceDE w:val="0"/>
        <w:autoSpaceDN w:val="0"/>
        <w:adjustRightInd w:val="0"/>
        <w:spacing w:after="0" w:line="214"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Амурской области в отдельных сферах государственного управления»</w:t>
      </w:r>
    </w:p>
    <w:p w:rsidR="00DC0BAB" w:rsidRPr="00DC0BAB" w:rsidRDefault="009C45F8" w:rsidP="005B2272">
      <w:pPr>
        <w:spacing w:after="0" w:line="214"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Амурской области в отдельных сферах государственного управления» утверждены в расходах областного бюджета в сумме </w:t>
      </w:r>
      <w:r>
        <w:rPr>
          <w:rFonts w:ascii="Times New Roman" w:hAnsi="Times New Roman" w:cs="Times New Roman"/>
          <w:sz w:val="24"/>
          <w:szCs w:val="24"/>
        </w:rPr>
        <w:t>117305,4</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1</w:t>
      </w:r>
      <w:r>
        <w:rPr>
          <w:rFonts w:ascii="Times New Roman" w:hAnsi="Times New Roman" w:cs="Times New Roman"/>
          <w:sz w:val="24"/>
          <w:szCs w:val="24"/>
        </w:rPr>
        <w:t>3</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процента.</w:t>
      </w:r>
      <w:r>
        <w:rPr>
          <w:rFonts w:ascii="Times New Roman" w:hAnsi="Times New Roman" w:cs="Times New Roman"/>
          <w:sz w:val="24"/>
          <w:szCs w:val="24"/>
        </w:rPr>
        <w:t xml:space="preserve"> </w:t>
      </w: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w:t>
      </w:r>
      <w:r w:rsidRPr="00DC0BAB">
        <w:rPr>
          <w:rFonts w:ascii="Times New Roman" w:hAnsi="Times New Roman" w:cs="Times New Roman"/>
          <w:sz w:val="24"/>
          <w:szCs w:val="24"/>
        </w:rPr>
        <w:t xml:space="preserve">, составил 98,8 процента плановых назначений (исполнение – 115934,0 тыс. рублей). По данной подпрограмме осуществлялось финансирование расходов на обеспечение функций </w:t>
      </w:r>
      <w:r w:rsidR="00DC0BAB" w:rsidRPr="00DC0BAB">
        <w:rPr>
          <w:rFonts w:ascii="Times New Roman" w:hAnsi="Times New Roman" w:cs="Times New Roman"/>
          <w:sz w:val="24"/>
          <w:szCs w:val="24"/>
        </w:rPr>
        <w:t xml:space="preserve">министерств экономического развития, министерства внешнеэкономических связей, туризма и предпринимательства, управления занятости области. </w:t>
      </w:r>
    </w:p>
    <w:p w:rsidR="009C45F8" w:rsidRDefault="009C45F8" w:rsidP="005B2272">
      <w:pPr>
        <w:spacing w:after="0" w:line="214" w:lineRule="auto"/>
        <w:ind w:firstLine="709"/>
        <w:jc w:val="both"/>
        <w:rPr>
          <w:rFonts w:ascii="Times New Roman" w:eastAsia="Times New Roman" w:hAnsi="Times New Roman" w:cs="Times New Roman"/>
          <w:sz w:val="24"/>
          <w:szCs w:val="24"/>
          <w:lang w:eastAsia="ru-RU"/>
        </w:rPr>
      </w:pPr>
      <w:r w:rsidRPr="00DC0BAB">
        <w:rPr>
          <w:rFonts w:ascii="Times New Roman" w:hAnsi="Times New Roman" w:cs="Times New Roman"/>
          <w:sz w:val="24"/>
          <w:szCs w:val="24"/>
        </w:rPr>
        <w:lastRenderedPageBreak/>
        <w:t xml:space="preserve">Основные направления исполнения расходов областного бюджета </w:t>
      </w:r>
      <w:r w:rsidRPr="001A299F">
        <w:rPr>
          <w:rFonts w:ascii="Times New Roman" w:hAnsi="Times New Roman" w:cs="Times New Roman"/>
          <w:sz w:val="24"/>
          <w:szCs w:val="24"/>
        </w:rPr>
        <w:t>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представлены на </w:t>
      </w:r>
      <w:r w:rsidRPr="00A3766A">
        <w:rPr>
          <w:rFonts w:ascii="Times New Roman" w:eastAsia="Times New Roman" w:hAnsi="Times New Roman" w:cs="Times New Roman"/>
          <w:sz w:val="24"/>
          <w:szCs w:val="24"/>
          <w:lang w:eastAsia="ru-RU"/>
        </w:rPr>
        <w:t xml:space="preserve">рисунке </w:t>
      </w:r>
      <w:r w:rsidR="00A3766A" w:rsidRPr="00A3766A">
        <w:rPr>
          <w:rFonts w:ascii="Times New Roman" w:eastAsia="Times New Roman" w:hAnsi="Times New Roman" w:cs="Times New Roman"/>
          <w:sz w:val="24"/>
          <w:szCs w:val="24"/>
          <w:lang w:eastAsia="ru-RU"/>
        </w:rPr>
        <w:t>28</w:t>
      </w:r>
      <w:r w:rsidRPr="00A3766A">
        <w:rPr>
          <w:rFonts w:ascii="Times New Roman" w:eastAsia="Times New Roman" w:hAnsi="Times New Roman" w:cs="Times New Roman"/>
          <w:sz w:val="24"/>
          <w:szCs w:val="24"/>
          <w:lang w:eastAsia="ru-RU"/>
        </w:rPr>
        <w:t>.</w:t>
      </w:r>
    </w:p>
    <w:p w:rsidR="005B2272" w:rsidRPr="00A3766A" w:rsidRDefault="005B2272" w:rsidP="005B2272">
      <w:pPr>
        <w:spacing w:after="0" w:line="214" w:lineRule="auto"/>
        <w:ind w:firstLine="709"/>
        <w:jc w:val="both"/>
        <w:rPr>
          <w:rFonts w:ascii="Times New Roman" w:hAnsi="Times New Roman" w:cs="Times New Roman"/>
          <w:sz w:val="24"/>
          <w:szCs w:val="24"/>
        </w:rPr>
      </w:pPr>
    </w:p>
    <w:p w:rsidR="009C45F8" w:rsidRPr="001A299F" w:rsidRDefault="009C45F8" w:rsidP="009C45F8">
      <w:pPr>
        <w:spacing w:after="0" w:line="240" w:lineRule="auto"/>
        <w:jc w:val="both"/>
        <w:rPr>
          <w:rFonts w:ascii="Times New Roman" w:hAnsi="Times New Roman" w:cs="Times New Roman"/>
          <w:sz w:val="24"/>
          <w:szCs w:val="24"/>
        </w:rPr>
      </w:pPr>
      <w:r w:rsidRPr="001A299F">
        <w:rPr>
          <w:rFonts w:ascii="Times New Roman" w:hAnsi="Times New Roman" w:cs="Times New Roman"/>
          <w:noProof/>
          <w:sz w:val="24"/>
          <w:szCs w:val="24"/>
          <w:lang w:eastAsia="ru-RU"/>
        </w:rPr>
        <w:drawing>
          <wp:inline distT="0" distB="0" distL="0" distR="0" wp14:anchorId="33FC4EF7" wp14:editId="716E2B1A">
            <wp:extent cx="6098876" cy="4218317"/>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C45F8" w:rsidRPr="001A299F" w:rsidRDefault="009C45F8" w:rsidP="009C45F8">
      <w:pPr>
        <w:spacing w:after="0" w:line="240" w:lineRule="auto"/>
        <w:ind w:firstLine="709"/>
        <w:jc w:val="center"/>
        <w:rPr>
          <w:rFonts w:ascii="Times New Roman" w:hAnsi="Times New Roman" w:cs="Times New Roman"/>
          <w:b/>
          <w:sz w:val="24"/>
          <w:szCs w:val="24"/>
        </w:rPr>
      </w:pPr>
      <w:r w:rsidRPr="00A3766A">
        <w:rPr>
          <w:rFonts w:ascii="Times New Roman" w:hAnsi="Times New Roman" w:cs="Times New Roman"/>
          <w:b/>
          <w:sz w:val="24"/>
          <w:szCs w:val="24"/>
        </w:rPr>
        <w:t xml:space="preserve">Рис. </w:t>
      </w:r>
      <w:r w:rsidR="00A3766A" w:rsidRPr="00A3766A">
        <w:rPr>
          <w:rFonts w:ascii="Times New Roman" w:hAnsi="Times New Roman" w:cs="Times New Roman"/>
          <w:b/>
          <w:sz w:val="24"/>
          <w:szCs w:val="24"/>
        </w:rPr>
        <w:t>28</w:t>
      </w:r>
      <w:r w:rsidRPr="00A3766A">
        <w:rPr>
          <w:rFonts w:ascii="Times New Roman" w:hAnsi="Times New Roman" w:cs="Times New Roman"/>
          <w:b/>
          <w:sz w:val="24"/>
          <w:szCs w:val="24"/>
        </w:rPr>
        <w:t xml:space="preserve"> - </w:t>
      </w:r>
      <w:r w:rsidRPr="00CE0D71">
        <w:rPr>
          <w:rFonts w:ascii="Times New Roman" w:hAnsi="Times New Roman" w:cs="Times New Roman"/>
          <w:b/>
          <w:sz w:val="24"/>
          <w:szCs w:val="24"/>
        </w:rPr>
        <w:t xml:space="preserve">Основные </w:t>
      </w:r>
      <w:r w:rsidRPr="001A299F">
        <w:rPr>
          <w:rFonts w:ascii="Times New Roman" w:hAnsi="Times New Roman" w:cs="Times New Roman"/>
          <w:b/>
          <w:sz w:val="24"/>
          <w:szCs w:val="24"/>
        </w:rPr>
        <w:t xml:space="preserve">направления исполнения </w:t>
      </w:r>
      <w:r>
        <w:rPr>
          <w:rFonts w:ascii="Times New Roman" w:hAnsi="Times New Roman" w:cs="Times New Roman"/>
          <w:b/>
          <w:sz w:val="24"/>
          <w:szCs w:val="24"/>
        </w:rPr>
        <w:t>расходов областного бюджета за</w:t>
      </w:r>
      <w:r>
        <w:rPr>
          <w:rFonts w:ascii="Times New Roman" w:hAnsi="Times New Roman" w:cs="Times New Roman"/>
          <w:b/>
          <w:sz w:val="24"/>
          <w:szCs w:val="24"/>
        </w:rPr>
        <w:br/>
      </w:r>
      <w:r w:rsidRPr="001A299F">
        <w:rPr>
          <w:rFonts w:ascii="Times New Roman" w:hAnsi="Times New Roman" w:cs="Times New Roman"/>
          <w:b/>
          <w:sz w:val="24"/>
          <w:szCs w:val="24"/>
        </w:rPr>
        <w:t>201</w:t>
      </w:r>
      <w:r>
        <w:rPr>
          <w:rFonts w:ascii="Times New Roman" w:hAnsi="Times New Roman" w:cs="Times New Roman"/>
          <w:b/>
          <w:sz w:val="24"/>
          <w:szCs w:val="24"/>
        </w:rPr>
        <w:t>7</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Экономическое развитие и инновационная экономика Амурской области на 2014-2020 годы», млн. руб.</w:t>
      </w:r>
    </w:p>
    <w:p w:rsidR="00E1589F" w:rsidRDefault="00E1589F" w:rsidP="009C45F8">
      <w:pPr>
        <w:spacing w:after="0" w:line="240" w:lineRule="auto"/>
        <w:ind w:firstLine="709"/>
        <w:jc w:val="both"/>
        <w:rPr>
          <w:rFonts w:ascii="Times New Roman" w:hAnsi="Times New Roman" w:cs="Times New Roman"/>
          <w:sz w:val="24"/>
          <w:szCs w:val="24"/>
        </w:rPr>
      </w:pPr>
    </w:p>
    <w:p w:rsidR="009C45F8" w:rsidRPr="001A299F" w:rsidRDefault="009C45F8" w:rsidP="009C45F8">
      <w:pPr>
        <w:spacing w:after="0" w:line="240" w:lineRule="auto"/>
        <w:ind w:firstLine="709"/>
        <w:jc w:val="both"/>
        <w:rPr>
          <w:rFonts w:ascii="Times New Roman" w:hAnsi="Times New Roman" w:cs="Times New Roman"/>
          <w:sz w:val="24"/>
          <w:szCs w:val="24"/>
        </w:rPr>
      </w:pPr>
      <w:proofErr w:type="gramStart"/>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w:t>
      </w:r>
      <w:r>
        <w:rPr>
          <w:rFonts w:ascii="Times New Roman" w:hAnsi="Times New Roman" w:cs="Times New Roman"/>
          <w:sz w:val="24"/>
          <w:szCs w:val="24"/>
        </w:rPr>
        <w:t>,</w:t>
      </w:r>
      <w:r w:rsidRPr="001A299F">
        <w:rPr>
          <w:rFonts w:ascii="Times New Roman" w:hAnsi="Times New Roman" w:cs="Times New Roman"/>
          <w:sz w:val="24"/>
          <w:szCs w:val="24"/>
        </w:rPr>
        <w:t xml:space="preserve"> бюджетные ассигнования по государственной программе «</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w:t>
      </w:r>
      <w:r w:rsidRPr="001A299F">
        <w:rPr>
          <w:rFonts w:ascii="Times New Roman" w:hAnsi="Times New Roman" w:cs="Times New Roman"/>
          <w:sz w:val="24"/>
          <w:szCs w:val="24"/>
        </w:rPr>
        <w:t>отражены в разрезе подпрограмм и мероприятий в объемах, утвержденных сводной бюджетной</w:t>
      </w:r>
      <w:proofErr w:type="gramEnd"/>
      <w:r w:rsidRPr="001A299F">
        <w:rPr>
          <w:rFonts w:ascii="Times New Roman" w:hAnsi="Times New Roman" w:cs="Times New Roman"/>
          <w:sz w:val="24"/>
          <w:szCs w:val="24"/>
        </w:rPr>
        <w:t xml:space="preserve"> росписью на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9C45F8" w:rsidRPr="00776982" w:rsidRDefault="009C45F8" w:rsidP="009C45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государственной программе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2014-2020 годы» </w:t>
      </w:r>
      <w:r>
        <w:rPr>
          <w:rFonts w:ascii="Times New Roman" w:eastAsia="Times New Roman" w:hAnsi="Times New Roman" w:cs="Times New Roman"/>
          <w:sz w:val="24"/>
          <w:szCs w:val="24"/>
          <w:lang w:eastAsia="ru-RU"/>
        </w:rPr>
        <w:t>в 2017 году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тем,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w:t>
      </w:r>
      <w:r w:rsidRPr="00495903">
        <w:rPr>
          <w:rFonts w:ascii="Times New Roman" w:eastAsia="Times New Roman" w:hAnsi="Times New Roman" w:cs="Times New Roman"/>
          <w:sz w:val="24"/>
          <w:szCs w:val="24"/>
          <w:lang w:eastAsia="ru-RU"/>
        </w:rPr>
        <w:t>:</w:t>
      </w:r>
    </w:p>
    <w:p w:rsidR="009C45F8" w:rsidRPr="0088496C" w:rsidRDefault="009C45F8" w:rsidP="00124114">
      <w:pPr>
        <w:pStyle w:val="afa"/>
        <w:numPr>
          <w:ilvl w:val="0"/>
          <w:numId w:val="11"/>
        </w:numPr>
        <w:tabs>
          <w:tab w:val="left" w:pos="142"/>
          <w:tab w:val="left" w:pos="709"/>
          <w:tab w:val="left" w:pos="993"/>
        </w:tabs>
        <w:ind w:left="0" w:firstLine="709"/>
        <w:jc w:val="both"/>
        <w:rPr>
          <w:sz w:val="24"/>
          <w:szCs w:val="24"/>
        </w:rPr>
      </w:pPr>
      <w:r w:rsidRPr="001F1B7B">
        <w:rPr>
          <w:sz w:val="24"/>
          <w:szCs w:val="24"/>
        </w:rPr>
        <w:t>Удельный вес муниципальных образований, в которых разработаны документы стратегического планирования, в общем числе муниципальных образований области</w:t>
      </w:r>
      <w:r>
        <w:rPr>
          <w:sz w:val="24"/>
          <w:szCs w:val="24"/>
        </w:rPr>
        <w:t xml:space="preserve"> </w:t>
      </w:r>
      <w:r>
        <w:rPr>
          <w:sz w:val="24"/>
          <w:szCs w:val="24"/>
        </w:rPr>
        <w:br/>
        <w:t>(в процентах), уровень достижения показателя – 76,0 процентов (плановый показатель –</w:t>
      </w:r>
      <w:r>
        <w:rPr>
          <w:sz w:val="24"/>
          <w:szCs w:val="24"/>
        </w:rPr>
        <w:br/>
        <w:t>100,0  процентов, фактически достигнутый показатель – 76,0 процентов, причина недостижения показателя – в</w:t>
      </w:r>
      <w:r w:rsidRPr="001F1B7B">
        <w:rPr>
          <w:sz w:val="24"/>
          <w:szCs w:val="24"/>
        </w:rPr>
        <w:t xml:space="preserve"> 22 муниципальных образованиях разработаны</w:t>
      </w:r>
      <w:r>
        <w:rPr>
          <w:sz w:val="24"/>
          <w:szCs w:val="24"/>
        </w:rPr>
        <w:t xml:space="preserve"> документы </w:t>
      </w:r>
      <w:r>
        <w:rPr>
          <w:sz w:val="24"/>
          <w:szCs w:val="24"/>
        </w:rPr>
        <w:lastRenderedPageBreak/>
        <w:t>стратегического планирования</w:t>
      </w:r>
      <w:r w:rsidRPr="001F1B7B">
        <w:rPr>
          <w:sz w:val="24"/>
          <w:szCs w:val="24"/>
        </w:rPr>
        <w:t>, в 6 в процессе разработки, в 1 не разрабатывал</w:t>
      </w:r>
      <w:r>
        <w:rPr>
          <w:sz w:val="24"/>
          <w:szCs w:val="24"/>
        </w:rPr>
        <w:t>и</w:t>
      </w:r>
      <w:r w:rsidRPr="001F1B7B">
        <w:rPr>
          <w:sz w:val="24"/>
          <w:szCs w:val="24"/>
        </w:rPr>
        <w:t>сь</w:t>
      </w:r>
      <w:r>
        <w:rPr>
          <w:sz w:val="24"/>
          <w:szCs w:val="24"/>
        </w:rPr>
        <w:t>).</w:t>
      </w:r>
    </w:p>
    <w:p w:rsidR="009C45F8" w:rsidRDefault="009C45F8" w:rsidP="00124114">
      <w:pPr>
        <w:numPr>
          <w:ilvl w:val="0"/>
          <w:numId w:val="12"/>
        </w:numPr>
        <w:tabs>
          <w:tab w:val="clear" w:pos="928"/>
          <w:tab w:val="num"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5004E">
        <w:rPr>
          <w:rFonts w:ascii="Times New Roman" w:hAnsi="Times New Roman" w:cs="Times New Roman"/>
          <w:sz w:val="24"/>
          <w:szCs w:val="24"/>
        </w:rPr>
        <w:t>Число предприятий малого и среднего бизнеса</w:t>
      </w:r>
      <w:r>
        <w:rPr>
          <w:rFonts w:ascii="Times New Roman" w:hAnsi="Times New Roman" w:cs="Times New Roman"/>
          <w:sz w:val="24"/>
          <w:szCs w:val="24"/>
        </w:rPr>
        <w:t xml:space="preserve"> (единиц), уровень достижения показателя – 88,0 процентов </w:t>
      </w:r>
      <w:r w:rsidRPr="00A5004E">
        <w:rPr>
          <w:rFonts w:ascii="Times New Roman" w:hAnsi="Times New Roman" w:cs="Times New Roman"/>
          <w:sz w:val="24"/>
          <w:szCs w:val="24"/>
        </w:rPr>
        <w:t>(плановый показатель –</w:t>
      </w:r>
      <w:r>
        <w:rPr>
          <w:rFonts w:ascii="Times New Roman" w:hAnsi="Times New Roman" w:cs="Times New Roman"/>
          <w:sz w:val="24"/>
          <w:szCs w:val="24"/>
        </w:rPr>
        <w:t xml:space="preserve"> 31000 единиц</w:t>
      </w:r>
      <w:r w:rsidRPr="00A5004E">
        <w:rPr>
          <w:rFonts w:ascii="Times New Roman" w:hAnsi="Times New Roman" w:cs="Times New Roman"/>
          <w:sz w:val="24"/>
          <w:szCs w:val="24"/>
        </w:rPr>
        <w:t xml:space="preserve">, фактически достигнутый показатель – </w:t>
      </w:r>
      <w:r>
        <w:rPr>
          <w:rFonts w:ascii="Times New Roman" w:hAnsi="Times New Roman" w:cs="Times New Roman"/>
          <w:sz w:val="24"/>
          <w:szCs w:val="24"/>
        </w:rPr>
        <w:t>27349 единиц</w:t>
      </w:r>
      <w:r w:rsidRPr="00A5004E">
        <w:rPr>
          <w:rFonts w:ascii="Times New Roman" w:hAnsi="Times New Roman" w:cs="Times New Roman"/>
          <w:sz w:val="24"/>
          <w:szCs w:val="24"/>
        </w:rPr>
        <w:t xml:space="preserve">, причина недостижения показателя </w:t>
      </w:r>
      <w:r>
        <w:rPr>
          <w:rFonts w:ascii="Times New Roman" w:hAnsi="Times New Roman" w:cs="Times New Roman"/>
          <w:sz w:val="24"/>
          <w:szCs w:val="24"/>
        </w:rPr>
        <w:t>-</w:t>
      </w:r>
      <w:r w:rsidRPr="00A5004E">
        <w:rPr>
          <w:rFonts w:ascii="Times New Roman" w:hAnsi="Times New Roman" w:cs="Times New Roman"/>
          <w:sz w:val="24"/>
          <w:szCs w:val="24"/>
        </w:rPr>
        <w:t xml:space="preserve"> </w:t>
      </w:r>
      <w:r>
        <w:rPr>
          <w:rFonts w:ascii="Times New Roman" w:hAnsi="Times New Roman" w:cs="Times New Roman"/>
          <w:sz w:val="24"/>
          <w:szCs w:val="24"/>
        </w:rPr>
        <w:t>п</w:t>
      </w:r>
      <w:r w:rsidRPr="00A5004E">
        <w:rPr>
          <w:rFonts w:ascii="Times New Roman" w:hAnsi="Times New Roman" w:cs="Times New Roman"/>
          <w:sz w:val="24"/>
          <w:szCs w:val="24"/>
        </w:rPr>
        <w:t xml:space="preserve">лановый показатель учитывался на основе данных Амурстата, с 01.08.2016 ведение реестра субъектов </w:t>
      </w:r>
      <w:r w:rsidR="00A3766A">
        <w:rPr>
          <w:rFonts w:ascii="Times New Roman" w:hAnsi="Times New Roman" w:cs="Times New Roman"/>
          <w:sz w:val="24"/>
          <w:szCs w:val="24"/>
        </w:rPr>
        <w:br/>
      </w:r>
      <w:r w:rsidRPr="00A5004E">
        <w:rPr>
          <w:rFonts w:ascii="Times New Roman" w:hAnsi="Times New Roman" w:cs="Times New Roman"/>
          <w:sz w:val="24"/>
          <w:szCs w:val="24"/>
        </w:rPr>
        <w:t>МСП осуществляет УФНС России по Амурской области</w:t>
      </w:r>
      <w:r>
        <w:rPr>
          <w:rFonts w:ascii="Times New Roman" w:hAnsi="Times New Roman" w:cs="Times New Roman"/>
          <w:sz w:val="24"/>
          <w:szCs w:val="24"/>
        </w:rPr>
        <w:t>).</w:t>
      </w:r>
    </w:p>
    <w:p w:rsidR="009C45F8" w:rsidRDefault="009C45F8" w:rsidP="009C45F8">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оценке эффективности государственных программ Амурской области в </w:t>
      </w:r>
      <w:r>
        <w:rPr>
          <w:rFonts w:ascii="Times New Roman" w:hAnsi="Times New Roman" w:cs="Times New Roman"/>
          <w:sz w:val="24"/>
          <w:szCs w:val="24"/>
        </w:rPr>
        <w:br/>
        <w:t xml:space="preserve">2017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Pr>
          <w:rFonts w:ascii="Times New Roman" w:hAnsi="Times New Roman" w:cs="Times New Roman"/>
          <w:sz w:val="24"/>
          <w:szCs w:val="24"/>
        </w:rPr>
        <w:t xml:space="preserve">, государственная программа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Экономическое развитие и инновационная экономика Амурской области на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2014-2020 годы»</w:t>
      </w:r>
      <w:r>
        <w:rPr>
          <w:rFonts w:ascii="Times New Roman" w:eastAsia="Times New Roman" w:hAnsi="Times New Roman" w:cs="Times New Roman"/>
          <w:sz w:val="24"/>
          <w:szCs w:val="24"/>
          <w:lang w:eastAsia="ru-RU"/>
        </w:rPr>
        <w:t xml:space="preserve"> признана эффективной.</w:t>
      </w:r>
    </w:p>
    <w:p w:rsidR="009C45F8" w:rsidRPr="001A299F" w:rsidRDefault="009C45F8" w:rsidP="009C45F8">
      <w:pPr>
        <w:tabs>
          <w:tab w:val="left" w:pos="0"/>
        </w:tabs>
        <w:spacing w:after="0" w:line="240" w:lineRule="auto"/>
        <w:ind w:firstLine="709"/>
        <w:jc w:val="both"/>
        <w:rPr>
          <w:rFonts w:ascii="Times New Roman" w:hAnsi="Times New Roman" w:cs="Times New Roman"/>
          <w:sz w:val="24"/>
          <w:szCs w:val="24"/>
        </w:rPr>
      </w:pP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5.9. Исполнение расходов областного бюджета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 в рамках государственной программы «Развитие физической культуры и спорта на территории Амурской области на 2014-2020 годы»</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Государственная программа «Развитие физической культуры и спорта на территории Амурской области на 2014-2020 годы» утверждена постановлением Правительства Амурской области от 25.09.2013 № 451 (в редакции постановления Правительства Амурской области от </w:t>
      </w:r>
      <w:r>
        <w:rPr>
          <w:rFonts w:ascii="Times New Roman" w:eastAsia="Times New Roman" w:hAnsi="Times New Roman" w:cs="Times New Roman"/>
          <w:sz w:val="24"/>
          <w:szCs w:val="24"/>
          <w:lang w:eastAsia="ru-RU"/>
        </w:rPr>
        <w:t>08</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591</w:t>
      </w:r>
      <w:r w:rsidRPr="001A299F">
        <w:rPr>
          <w:rFonts w:ascii="Times New Roman" w:eastAsia="Times New Roman" w:hAnsi="Times New Roman" w:cs="Times New Roman"/>
          <w:sz w:val="24"/>
          <w:szCs w:val="24"/>
          <w:lang w:eastAsia="ru-RU"/>
        </w:rPr>
        <w:t xml:space="preserve">). Координатором </w:t>
      </w:r>
      <w:r>
        <w:rPr>
          <w:rFonts w:ascii="Times New Roman" w:eastAsia="Times New Roman" w:hAnsi="Times New Roman" w:cs="Times New Roman"/>
          <w:sz w:val="24"/>
          <w:szCs w:val="24"/>
          <w:lang w:eastAsia="ru-RU"/>
        </w:rPr>
        <w:t>и участником</w:t>
      </w:r>
      <w:r w:rsidRPr="001A299F">
        <w:rPr>
          <w:rFonts w:ascii="Times New Roman" w:eastAsia="Times New Roman" w:hAnsi="Times New Roman" w:cs="Times New Roman"/>
          <w:sz w:val="24"/>
          <w:szCs w:val="24"/>
          <w:lang w:eastAsia="ru-RU"/>
        </w:rPr>
        <w:t xml:space="preserve"> государственной программы является министерство по физической куль</w:t>
      </w:r>
      <w:r>
        <w:rPr>
          <w:rFonts w:ascii="Times New Roman" w:eastAsia="Times New Roman" w:hAnsi="Times New Roman" w:cs="Times New Roman"/>
          <w:sz w:val="24"/>
          <w:szCs w:val="24"/>
          <w:lang w:eastAsia="ru-RU"/>
        </w:rPr>
        <w:t xml:space="preserve">туре и спорту Амурской области. </w:t>
      </w:r>
    </w:p>
    <w:p w:rsidR="009C45F8" w:rsidRPr="001A299F" w:rsidRDefault="009C45F8" w:rsidP="009C45F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pacing w:val="6"/>
          <w:sz w:val="24"/>
          <w:szCs w:val="24"/>
        </w:rPr>
        <w:t xml:space="preserve">Законом Амурской области </w:t>
      </w:r>
      <w:r w:rsidRPr="00813B33">
        <w:rPr>
          <w:rFonts w:ascii="Times New Roman" w:hAnsi="Times New Roman" w:cs="Times New Roman"/>
          <w:spacing w:val="6"/>
          <w:sz w:val="24"/>
          <w:szCs w:val="24"/>
        </w:rPr>
        <w:t xml:space="preserve">от 20.12.2016 № 27-ОЗ «Об областном бюджете на 2017 год и плановый период 2018 и 2019 годов» </w:t>
      </w:r>
      <w:r>
        <w:rPr>
          <w:rFonts w:ascii="Times New Roman" w:hAnsi="Times New Roman" w:cs="Times New Roman"/>
          <w:spacing w:val="6"/>
          <w:sz w:val="24"/>
          <w:szCs w:val="24"/>
        </w:rPr>
        <w:t>(ред. от 21.12.2017)</w:t>
      </w:r>
      <w:r w:rsidRPr="001A299F">
        <w:rPr>
          <w:rFonts w:ascii="Times New Roman" w:eastAsia="Times New Roman" w:hAnsi="Times New Roman" w:cs="Times New Roman"/>
          <w:sz w:val="24"/>
          <w:szCs w:val="24"/>
          <w:lang w:eastAsia="ru-RU"/>
        </w:rPr>
        <w:t xml:space="preserve"> на реализацию государственной программы «Развитие физической культуры и спорта на территории Амурской области на 2014-2020 годы» утверждены бюджетные ассигнования в сумме </w:t>
      </w:r>
      <w:r>
        <w:rPr>
          <w:rFonts w:ascii="Times New Roman" w:eastAsia="Times New Roman" w:hAnsi="Times New Roman" w:cs="Times New Roman"/>
          <w:sz w:val="24"/>
          <w:szCs w:val="24"/>
          <w:lang w:eastAsia="ru-RU"/>
        </w:rPr>
        <w:t>175467,7</w:t>
      </w:r>
      <w:r w:rsidRPr="001A299F">
        <w:rPr>
          <w:rFonts w:ascii="Times New Roman" w:eastAsia="Times New Roman" w:hAnsi="Times New Roman" w:cs="Times New Roman"/>
          <w:sz w:val="24"/>
          <w:szCs w:val="24"/>
          <w:lang w:eastAsia="ru-RU"/>
        </w:rPr>
        <w:t xml:space="preserve"> тыс. рублей.</w:t>
      </w:r>
    </w:p>
    <w:p w:rsidR="009C45F8" w:rsidRPr="001A299F" w:rsidRDefault="009C45F8" w:rsidP="009C45F8">
      <w:pPr>
        <w:spacing w:after="0" w:line="240" w:lineRule="auto"/>
        <w:ind w:firstLine="708"/>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Сводной бюджетной росписью расходов областного бюджета на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на реализацию программы предусмотрено </w:t>
      </w:r>
      <w:r>
        <w:rPr>
          <w:rFonts w:ascii="Times New Roman" w:eastAsia="Times New Roman" w:hAnsi="Times New Roman" w:cs="Times New Roman"/>
          <w:sz w:val="24"/>
          <w:szCs w:val="24"/>
          <w:lang w:eastAsia="ru-RU"/>
        </w:rPr>
        <w:t>175467,7</w:t>
      </w:r>
      <w:r w:rsidRPr="001A299F">
        <w:rPr>
          <w:rFonts w:ascii="Times New Roman" w:eastAsia="Times New Roman" w:hAnsi="Times New Roman" w:cs="Times New Roman"/>
          <w:sz w:val="24"/>
          <w:szCs w:val="24"/>
          <w:lang w:eastAsia="ru-RU"/>
        </w:rPr>
        <w:t xml:space="preserve"> тыс. рублей. </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 xml:space="preserve">Объем бюджетных ассигнований на реализацию государственной программы, утвержденный постановлением Правительства Амурской области от 25.09.2013 № 451 (в редакции постановления Правительства Амурской области от </w:t>
      </w:r>
      <w:r>
        <w:rPr>
          <w:rFonts w:ascii="Times New Roman" w:eastAsia="Times New Roman" w:hAnsi="Times New Roman" w:cs="Times New Roman"/>
          <w:sz w:val="24"/>
          <w:szCs w:val="24"/>
          <w:lang w:eastAsia="ru-RU"/>
        </w:rPr>
        <w:t>08</w:t>
      </w:r>
      <w:r w:rsidRPr="001A299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591</w:t>
      </w:r>
      <w:r w:rsidRPr="001A299F">
        <w:rPr>
          <w:rFonts w:ascii="Times New Roman" w:eastAsia="Times New Roman" w:hAnsi="Times New Roman" w:cs="Times New Roman"/>
          <w:sz w:val="24"/>
          <w:szCs w:val="24"/>
          <w:lang w:eastAsia="ru-RU"/>
        </w:rPr>
        <w:t xml:space="preserve">), составляет </w:t>
      </w:r>
      <w:r>
        <w:rPr>
          <w:rFonts w:ascii="Times New Roman" w:eastAsia="Times New Roman" w:hAnsi="Times New Roman" w:cs="Times New Roman"/>
          <w:sz w:val="24"/>
          <w:szCs w:val="24"/>
          <w:lang w:eastAsia="ru-RU"/>
        </w:rPr>
        <w:t xml:space="preserve">175467,7 </w:t>
      </w:r>
      <w:r w:rsidRPr="001A299F">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что соответствует бюджетным ассигнованиям</w:t>
      </w:r>
      <w:r w:rsidRPr="001A299F">
        <w:rPr>
          <w:rFonts w:ascii="Times New Roman" w:eastAsia="Times New Roman" w:hAnsi="Times New Roman" w:cs="Times New Roman"/>
          <w:sz w:val="24"/>
          <w:szCs w:val="24"/>
          <w:lang w:eastAsia="ru-RU"/>
        </w:rPr>
        <w:t>, утвержденны</w:t>
      </w:r>
      <w:r>
        <w:rPr>
          <w:rFonts w:ascii="Times New Roman" w:eastAsia="Times New Roman" w:hAnsi="Times New Roman" w:cs="Times New Roman"/>
          <w:sz w:val="24"/>
          <w:szCs w:val="24"/>
          <w:lang w:eastAsia="ru-RU"/>
        </w:rPr>
        <w:t>м</w:t>
      </w:r>
      <w:r w:rsidRPr="001A299F">
        <w:rPr>
          <w:rFonts w:ascii="Times New Roman" w:eastAsia="Times New Roman" w:hAnsi="Times New Roman" w:cs="Times New Roman"/>
          <w:sz w:val="24"/>
          <w:szCs w:val="24"/>
          <w:lang w:eastAsia="ru-RU"/>
        </w:rPr>
        <w:t xml:space="preserve"> законом об областном бюджете</w:t>
      </w:r>
      <w:r>
        <w:rPr>
          <w:rFonts w:ascii="Times New Roman" w:eastAsia="Times New Roman" w:hAnsi="Times New Roman" w:cs="Times New Roman"/>
          <w:sz w:val="24"/>
          <w:szCs w:val="24"/>
          <w:lang w:eastAsia="ru-RU"/>
        </w:rPr>
        <w:t>.</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Исполнение бюджетных назначений, предусмотренных на реализацию программы сводной бюджетной росписью расходов, составило  тыс. рублей, или 99,2 процента плановых назначений.</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Государственная программа «Развитие физической культуры и спорта на территории Амурской области на 2014-2020 годы» включает 2 подпрограммы.</w:t>
      </w:r>
    </w:p>
    <w:p w:rsidR="009C45F8" w:rsidRPr="00B8655E"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835">
        <w:rPr>
          <w:rFonts w:ascii="Times New Roman" w:eastAsia="Times New Roman" w:hAnsi="Times New Roman" w:cs="Times New Roman"/>
          <w:sz w:val="24"/>
          <w:szCs w:val="24"/>
          <w:lang w:eastAsia="ru-RU"/>
        </w:rPr>
        <w:t xml:space="preserve">В </w:t>
      </w:r>
      <w:r w:rsidRPr="00B8655E">
        <w:rPr>
          <w:rFonts w:ascii="Times New Roman" w:eastAsia="Times New Roman" w:hAnsi="Times New Roman" w:cs="Times New Roman"/>
          <w:sz w:val="24"/>
          <w:szCs w:val="24"/>
          <w:lang w:eastAsia="ru-RU"/>
        </w:rPr>
        <w:t>таблице 12 представлена информация об исполнении государственной программы «Развитие физической культуры и спорта на территории Амурской области на</w:t>
      </w:r>
      <w:r w:rsidRPr="00B8655E">
        <w:rPr>
          <w:rFonts w:ascii="Times New Roman" w:eastAsia="Times New Roman" w:hAnsi="Times New Roman" w:cs="Times New Roman"/>
          <w:sz w:val="24"/>
          <w:szCs w:val="24"/>
          <w:lang w:eastAsia="ru-RU"/>
        </w:rPr>
        <w:br/>
        <w:t>2014-2020 годы» в разрезе подпрограмм.</w:t>
      </w:r>
    </w:p>
    <w:p w:rsidR="009C45F8" w:rsidRPr="00B8655E" w:rsidRDefault="009C45F8" w:rsidP="009C45F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8655E">
        <w:rPr>
          <w:rFonts w:ascii="Times New Roman" w:eastAsia="Times New Roman" w:hAnsi="Times New Roman" w:cs="Times New Roman"/>
          <w:sz w:val="24"/>
          <w:szCs w:val="24"/>
          <w:lang w:eastAsia="ru-RU"/>
        </w:rPr>
        <w:t>Таблица 12</w:t>
      </w:r>
    </w:p>
    <w:p w:rsidR="009C45F8" w:rsidRPr="001A299F" w:rsidRDefault="009C45F8" w:rsidP="009C45F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Анализ исполнения государственной программы «Развитие физической культуры и спорта на территории Амурской области на 2014-2020 годы» в разрезе подпрограмм</w:t>
      </w:r>
    </w:p>
    <w:p w:rsidR="009C45F8" w:rsidRPr="001A299F" w:rsidRDefault="009C45F8" w:rsidP="009C45F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тыс. рублей</w:t>
      </w:r>
    </w:p>
    <w:tbl>
      <w:tblPr>
        <w:tblStyle w:val="a6"/>
        <w:tblW w:w="0" w:type="auto"/>
        <w:tblLook w:val="04A0" w:firstRow="1" w:lastRow="0" w:firstColumn="1" w:lastColumn="0" w:noHBand="0" w:noVBand="1"/>
      </w:tblPr>
      <w:tblGrid>
        <w:gridCol w:w="3453"/>
        <w:gridCol w:w="1116"/>
        <w:gridCol w:w="1531"/>
        <w:gridCol w:w="1805"/>
        <w:gridCol w:w="1948"/>
      </w:tblGrid>
      <w:tr w:rsidR="009C45F8" w:rsidRPr="001A299F" w:rsidTr="009C45F8">
        <w:trPr>
          <w:trHeight w:val="687"/>
          <w:tblHeader/>
        </w:trPr>
        <w:tc>
          <w:tcPr>
            <w:tcW w:w="3453" w:type="dxa"/>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Наименование государственной программы/подпрограммы</w:t>
            </w:r>
          </w:p>
        </w:tc>
        <w:tc>
          <w:tcPr>
            <w:tcW w:w="1116" w:type="dxa"/>
            <w:noWrap/>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План</w:t>
            </w:r>
          </w:p>
        </w:tc>
        <w:tc>
          <w:tcPr>
            <w:tcW w:w="1531" w:type="dxa"/>
            <w:noWrap/>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Исполнение</w:t>
            </w:r>
          </w:p>
        </w:tc>
        <w:tc>
          <w:tcPr>
            <w:tcW w:w="1805" w:type="dxa"/>
            <w:noWrap/>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Уровень исполнения,%</w:t>
            </w:r>
          </w:p>
        </w:tc>
        <w:tc>
          <w:tcPr>
            <w:tcW w:w="1948" w:type="dxa"/>
            <w:noWrap/>
          </w:tcPr>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Не исполненные назначения</w:t>
            </w:r>
          </w:p>
        </w:tc>
      </w:tr>
      <w:tr w:rsidR="009C45F8" w:rsidRPr="001A299F" w:rsidTr="009C45F8">
        <w:trPr>
          <w:trHeight w:val="1575"/>
        </w:trPr>
        <w:tc>
          <w:tcPr>
            <w:tcW w:w="3453" w:type="dxa"/>
            <w:hideMark/>
          </w:tcPr>
          <w:p w:rsidR="009C45F8" w:rsidRPr="001A299F" w:rsidRDefault="009C45F8" w:rsidP="009C45F8">
            <w:pPr>
              <w:widowControl w:val="0"/>
              <w:autoSpaceDE w:val="0"/>
              <w:autoSpaceDN w:val="0"/>
              <w:adjustRightInd w:val="0"/>
              <w:rPr>
                <w:b/>
                <w:bCs/>
                <w:sz w:val="24"/>
                <w:szCs w:val="24"/>
              </w:rPr>
            </w:pPr>
            <w:r w:rsidRPr="001A299F">
              <w:rPr>
                <w:b/>
                <w:bCs/>
                <w:sz w:val="24"/>
                <w:szCs w:val="24"/>
              </w:rPr>
              <w:lastRenderedPageBreak/>
              <w:t>Государственная программа «</w:t>
            </w:r>
            <w:r w:rsidRPr="001A299F">
              <w:rPr>
                <w:b/>
                <w:sz w:val="24"/>
                <w:szCs w:val="24"/>
              </w:rPr>
              <w:t>Развитие физической культуры и спорта на территории Амурской области на 2014-2020 годы»</w:t>
            </w:r>
            <w:r w:rsidRPr="001A299F">
              <w:rPr>
                <w:b/>
                <w:bCs/>
                <w:sz w:val="24"/>
                <w:szCs w:val="24"/>
              </w:rPr>
              <w:t xml:space="preserve">, </w:t>
            </w:r>
          </w:p>
          <w:p w:rsidR="009C45F8" w:rsidRPr="001A299F" w:rsidRDefault="009C45F8" w:rsidP="009C45F8">
            <w:pPr>
              <w:widowControl w:val="0"/>
              <w:autoSpaceDE w:val="0"/>
              <w:autoSpaceDN w:val="0"/>
              <w:adjustRightInd w:val="0"/>
              <w:rPr>
                <w:b/>
                <w:bCs/>
                <w:sz w:val="24"/>
                <w:szCs w:val="24"/>
              </w:rPr>
            </w:pPr>
            <w:r w:rsidRPr="001A299F">
              <w:rPr>
                <w:bCs/>
                <w:sz w:val="24"/>
                <w:szCs w:val="24"/>
              </w:rPr>
              <w:t>в том числе:</w:t>
            </w:r>
          </w:p>
        </w:tc>
        <w:tc>
          <w:tcPr>
            <w:tcW w:w="1116" w:type="dxa"/>
            <w:noWrap/>
            <w:vAlign w:val="center"/>
          </w:tcPr>
          <w:p w:rsidR="009C45F8" w:rsidRPr="001A299F" w:rsidRDefault="009C45F8" w:rsidP="009C45F8">
            <w:pPr>
              <w:widowControl w:val="0"/>
              <w:autoSpaceDE w:val="0"/>
              <w:autoSpaceDN w:val="0"/>
              <w:adjustRightInd w:val="0"/>
              <w:ind w:left="-164"/>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175467,7</w:t>
            </w:r>
          </w:p>
        </w:tc>
        <w:tc>
          <w:tcPr>
            <w:tcW w:w="1531" w:type="dxa"/>
            <w:noWrap/>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175295,7</w:t>
            </w:r>
          </w:p>
        </w:tc>
        <w:tc>
          <w:tcPr>
            <w:tcW w:w="1805" w:type="dxa"/>
            <w:noWrap/>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sidRPr="001A299F">
              <w:rPr>
                <w:b/>
                <w:bCs/>
                <w:sz w:val="24"/>
                <w:szCs w:val="24"/>
              </w:rPr>
              <w:t>99,</w:t>
            </w:r>
            <w:r>
              <w:rPr>
                <w:b/>
                <w:bCs/>
                <w:sz w:val="24"/>
                <w:szCs w:val="24"/>
              </w:rPr>
              <w:t>9</w:t>
            </w:r>
          </w:p>
        </w:tc>
        <w:tc>
          <w:tcPr>
            <w:tcW w:w="1948" w:type="dxa"/>
            <w:noWrap/>
            <w:vAlign w:val="center"/>
          </w:tcPr>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p>
          <w:p w:rsidR="009C45F8" w:rsidRPr="001A299F" w:rsidRDefault="009C45F8" w:rsidP="009C45F8">
            <w:pPr>
              <w:widowControl w:val="0"/>
              <w:autoSpaceDE w:val="0"/>
              <w:autoSpaceDN w:val="0"/>
              <w:adjustRightInd w:val="0"/>
              <w:jc w:val="center"/>
              <w:rPr>
                <w:b/>
                <w:bCs/>
                <w:sz w:val="24"/>
                <w:szCs w:val="24"/>
              </w:rPr>
            </w:pPr>
            <w:r>
              <w:rPr>
                <w:b/>
                <w:bCs/>
                <w:sz w:val="24"/>
                <w:szCs w:val="24"/>
              </w:rPr>
              <w:t>172,0</w:t>
            </w:r>
          </w:p>
        </w:tc>
      </w:tr>
      <w:tr w:rsidR="009C45F8" w:rsidRPr="001A299F" w:rsidTr="009C45F8">
        <w:trPr>
          <w:trHeight w:val="1260"/>
        </w:trPr>
        <w:tc>
          <w:tcPr>
            <w:tcW w:w="3453" w:type="dxa"/>
            <w:hideMark/>
          </w:tcPr>
          <w:p w:rsidR="009C45F8" w:rsidRPr="001A299F" w:rsidRDefault="009C45F8" w:rsidP="009C45F8">
            <w:pPr>
              <w:widowControl w:val="0"/>
              <w:autoSpaceDE w:val="0"/>
              <w:autoSpaceDN w:val="0"/>
              <w:adjustRightInd w:val="0"/>
              <w:rPr>
                <w:sz w:val="24"/>
                <w:szCs w:val="24"/>
              </w:rPr>
            </w:pPr>
            <w:r w:rsidRPr="001A299F">
              <w:rPr>
                <w:sz w:val="24"/>
                <w:szCs w:val="24"/>
              </w:rPr>
              <w:t>Подпрограмма «Развитие инфраструктуры физической культуры, массового спорта и поддержка спорта высших достижений»</w:t>
            </w:r>
          </w:p>
        </w:tc>
        <w:tc>
          <w:tcPr>
            <w:tcW w:w="1116" w:type="dxa"/>
            <w:noWrap/>
            <w:vAlign w:val="center"/>
          </w:tcPr>
          <w:p w:rsidR="009C45F8" w:rsidRDefault="009C45F8" w:rsidP="009C45F8">
            <w:pPr>
              <w:widowControl w:val="0"/>
              <w:autoSpaceDE w:val="0"/>
              <w:autoSpaceDN w:val="0"/>
              <w:adjustRightInd w:val="0"/>
              <w:jc w:val="center"/>
              <w:rPr>
                <w:sz w:val="24"/>
                <w:szCs w:val="24"/>
              </w:rPr>
            </w:pPr>
          </w:p>
          <w:p w:rsidR="009C45F8" w:rsidRDefault="009C45F8" w:rsidP="009C45F8">
            <w:pPr>
              <w:widowControl w:val="0"/>
              <w:autoSpaceDE w:val="0"/>
              <w:autoSpaceDN w:val="0"/>
              <w:adjustRightInd w:val="0"/>
              <w:jc w:val="center"/>
              <w:rPr>
                <w:sz w:val="24"/>
                <w:szCs w:val="24"/>
              </w:rPr>
            </w:pPr>
          </w:p>
          <w:p w:rsidR="009C45F8" w:rsidRDefault="009C45F8" w:rsidP="009C45F8">
            <w:pPr>
              <w:widowControl w:val="0"/>
              <w:autoSpaceDE w:val="0"/>
              <w:autoSpaceDN w:val="0"/>
              <w:adjustRightInd w:val="0"/>
              <w:jc w:val="center"/>
              <w:rPr>
                <w:sz w:val="24"/>
                <w:szCs w:val="24"/>
              </w:rPr>
            </w:pPr>
          </w:p>
          <w:p w:rsidR="009C45F8"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165628,2</w:t>
            </w:r>
          </w:p>
        </w:tc>
        <w:tc>
          <w:tcPr>
            <w:tcW w:w="1531"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165628,1</w:t>
            </w:r>
          </w:p>
        </w:tc>
        <w:tc>
          <w:tcPr>
            <w:tcW w:w="1805"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99,9</w:t>
            </w:r>
          </w:p>
        </w:tc>
        <w:tc>
          <w:tcPr>
            <w:tcW w:w="1948"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0,1</w:t>
            </w:r>
          </w:p>
        </w:tc>
      </w:tr>
      <w:tr w:rsidR="009C45F8" w:rsidRPr="001A299F" w:rsidTr="009C45F8">
        <w:trPr>
          <w:trHeight w:val="945"/>
        </w:trPr>
        <w:tc>
          <w:tcPr>
            <w:tcW w:w="3453" w:type="dxa"/>
            <w:hideMark/>
          </w:tcPr>
          <w:p w:rsidR="009C45F8" w:rsidRPr="001A299F" w:rsidRDefault="009C45F8" w:rsidP="009C45F8">
            <w:pPr>
              <w:widowControl w:val="0"/>
              <w:autoSpaceDE w:val="0"/>
              <w:autoSpaceDN w:val="0"/>
              <w:adjustRightInd w:val="0"/>
              <w:rPr>
                <w:sz w:val="24"/>
                <w:szCs w:val="24"/>
              </w:rPr>
            </w:pPr>
            <w:r w:rsidRPr="001A299F">
              <w:rPr>
                <w:sz w:val="24"/>
                <w:szCs w:val="24"/>
              </w:rPr>
              <w:t>Подпрограмма «Обеспечение реализации основных направлений государственной политики в сфере реализации государственной программы»</w:t>
            </w:r>
          </w:p>
        </w:tc>
        <w:tc>
          <w:tcPr>
            <w:tcW w:w="1116"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9839,5</w:t>
            </w:r>
          </w:p>
        </w:tc>
        <w:tc>
          <w:tcPr>
            <w:tcW w:w="1531"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9667,6</w:t>
            </w:r>
          </w:p>
        </w:tc>
        <w:tc>
          <w:tcPr>
            <w:tcW w:w="1805"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98,3</w:t>
            </w:r>
          </w:p>
        </w:tc>
        <w:tc>
          <w:tcPr>
            <w:tcW w:w="1948" w:type="dxa"/>
            <w:noWrap/>
            <w:vAlign w:val="center"/>
          </w:tcPr>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p>
          <w:p w:rsidR="009C45F8" w:rsidRPr="001A299F" w:rsidRDefault="009C45F8" w:rsidP="009C45F8">
            <w:pPr>
              <w:widowControl w:val="0"/>
              <w:autoSpaceDE w:val="0"/>
              <w:autoSpaceDN w:val="0"/>
              <w:adjustRightInd w:val="0"/>
              <w:jc w:val="center"/>
              <w:rPr>
                <w:sz w:val="24"/>
                <w:szCs w:val="24"/>
              </w:rPr>
            </w:pPr>
            <w:r>
              <w:rPr>
                <w:sz w:val="24"/>
                <w:szCs w:val="24"/>
              </w:rPr>
              <w:t>171,9</w:t>
            </w:r>
          </w:p>
        </w:tc>
      </w:tr>
    </w:tbl>
    <w:p w:rsidR="009C45F8" w:rsidRDefault="009C45F8" w:rsidP="009C45F8">
      <w:pPr>
        <w:widowControl w:val="0"/>
        <w:autoSpaceDE w:val="0"/>
        <w:autoSpaceDN w:val="0"/>
        <w:adjustRightInd w:val="0"/>
        <w:spacing w:after="0" w:line="240" w:lineRule="auto"/>
        <w:ind w:left="709"/>
        <w:contextualSpacing/>
        <w:jc w:val="both"/>
        <w:rPr>
          <w:rFonts w:ascii="Times New Roman" w:eastAsia="Times New Roman" w:hAnsi="Times New Roman" w:cs="Times New Roman"/>
          <w:i/>
          <w:sz w:val="24"/>
          <w:szCs w:val="24"/>
          <w:lang w:eastAsia="ru-RU"/>
        </w:rPr>
      </w:pPr>
    </w:p>
    <w:p w:rsidR="009C45F8" w:rsidRPr="001A299F" w:rsidRDefault="009C45F8" w:rsidP="00124114">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«Развитие инфраструктуры физической культуры, массового спорта и поддержка спорта высших достижений»</w:t>
      </w:r>
    </w:p>
    <w:p w:rsidR="009C45F8" w:rsidRPr="001A299F"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Бюджетные ассигнования по подпрограмме «Развитие инфраструктуры физической культуры, массового спорта и поддержка спорта высших достижений» утверждены в расходах областного бюджета в сумме </w:t>
      </w:r>
      <w:r>
        <w:rPr>
          <w:rFonts w:ascii="Times New Roman" w:hAnsi="Times New Roman" w:cs="Times New Roman"/>
          <w:sz w:val="24"/>
          <w:szCs w:val="24"/>
        </w:rPr>
        <w:t>165628,2</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r>
      <w:r w:rsidRPr="001A299F">
        <w:rPr>
          <w:rFonts w:ascii="Times New Roman" w:hAnsi="Times New Roman" w:cs="Times New Roman"/>
          <w:sz w:val="24"/>
          <w:szCs w:val="24"/>
        </w:rPr>
        <w:t>9</w:t>
      </w:r>
      <w:r>
        <w:rPr>
          <w:rFonts w:ascii="Times New Roman" w:hAnsi="Times New Roman" w:cs="Times New Roman"/>
          <w:sz w:val="24"/>
          <w:szCs w:val="24"/>
        </w:rPr>
        <w:t>4</w:t>
      </w:r>
      <w:r w:rsidRPr="001A299F">
        <w:rPr>
          <w:rFonts w:ascii="Times New Roman" w:hAnsi="Times New Roman" w:cs="Times New Roman"/>
          <w:sz w:val="24"/>
          <w:szCs w:val="24"/>
        </w:rPr>
        <w:t>,</w:t>
      </w:r>
      <w:r>
        <w:rPr>
          <w:rFonts w:ascii="Times New Roman" w:hAnsi="Times New Roman" w:cs="Times New Roman"/>
          <w:sz w:val="24"/>
          <w:szCs w:val="24"/>
        </w:rPr>
        <w:t>4</w:t>
      </w:r>
      <w:r w:rsidRPr="001A299F">
        <w:rPr>
          <w:rFonts w:ascii="Times New Roman" w:hAnsi="Times New Roman" w:cs="Times New Roman"/>
          <w:sz w:val="24"/>
          <w:szCs w:val="24"/>
        </w:rPr>
        <w:t xml:space="preserve"> процента.</w:t>
      </w:r>
    </w:p>
    <w:p w:rsidR="009C45F8"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Pr>
          <w:rFonts w:ascii="Times New Roman" w:hAnsi="Times New Roman" w:cs="Times New Roman"/>
          <w:sz w:val="24"/>
          <w:szCs w:val="24"/>
        </w:rPr>
        <w:t>99,9</w:t>
      </w:r>
      <w:r w:rsidRPr="001A299F">
        <w:rPr>
          <w:rFonts w:ascii="Times New Roman" w:hAnsi="Times New Roman" w:cs="Times New Roman"/>
          <w:sz w:val="24"/>
          <w:szCs w:val="24"/>
        </w:rPr>
        <w:t xml:space="preserve"> процент</w:t>
      </w:r>
      <w:r>
        <w:rPr>
          <w:rFonts w:ascii="Times New Roman" w:hAnsi="Times New Roman" w:cs="Times New Roman"/>
          <w:sz w:val="24"/>
          <w:szCs w:val="24"/>
        </w:rPr>
        <w:t>а</w:t>
      </w:r>
      <w:r w:rsidRPr="001A299F">
        <w:rPr>
          <w:rFonts w:ascii="Times New Roman" w:hAnsi="Times New Roman" w:cs="Times New Roman"/>
          <w:sz w:val="24"/>
          <w:szCs w:val="24"/>
        </w:rPr>
        <w:t>.</w:t>
      </w:r>
    </w:p>
    <w:p w:rsidR="009C45F8"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Основной объем бюджетных ассигнований подпрограммы, приходится на реализацию следующих мероприятий:</w:t>
      </w:r>
    </w:p>
    <w:p w:rsidR="009C45F8" w:rsidRDefault="009C45F8" w:rsidP="00124114">
      <w:pPr>
        <w:pStyle w:val="afa"/>
        <w:numPr>
          <w:ilvl w:val="0"/>
          <w:numId w:val="10"/>
        </w:numPr>
        <w:tabs>
          <w:tab w:val="left" w:pos="851"/>
        </w:tabs>
        <w:ind w:left="0" w:firstLine="709"/>
        <w:jc w:val="both"/>
        <w:rPr>
          <w:sz w:val="24"/>
          <w:szCs w:val="24"/>
        </w:rPr>
      </w:pPr>
      <w:r>
        <w:rPr>
          <w:sz w:val="24"/>
          <w:szCs w:val="24"/>
        </w:rPr>
        <w:t xml:space="preserve">Обеспечение деятельности (оказание услуг) государственных учреждений – </w:t>
      </w:r>
      <w:r>
        <w:rPr>
          <w:sz w:val="24"/>
          <w:szCs w:val="24"/>
        </w:rPr>
        <w:br/>
        <w:t>128517,1 тыс. рублей, исполнение составляет 128517,1 тыс. рублей, или 100,0 процентов.</w:t>
      </w:r>
    </w:p>
    <w:p w:rsidR="009C45F8" w:rsidRPr="00400B42" w:rsidRDefault="009C45F8" w:rsidP="00124114">
      <w:pPr>
        <w:pStyle w:val="afa"/>
        <w:numPr>
          <w:ilvl w:val="0"/>
          <w:numId w:val="10"/>
        </w:numPr>
        <w:tabs>
          <w:tab w:val="left" w:pos="993"/>
        </w:tabs>
        <w:ind w:left="0" w:firstLine="709"/>
        <w:jc w:val="both"/>
        <w:rPr>
          <w:sz w:val="24"/>
          <w:szCs w:val="24"/>
        </w:rPr>
      </w:pPr>
      <w:r>
        <w:rPr>
          <w:sz w:val="24"/>
          <w:szCs w:val="24"/>
        </w:rPr>
        <w:t>К</w:t>
      </w:r>
      <w:r w:rsidRPr="00335AEF">
        <w:rPr>
          <w:sz w:val="24"/>
          <w:szCs w:val="24"/>
        </w:rPr>
        <w:t xml:space="preserve">апитальные вложения в объекты муниципальной собственности – </w:t>
      </w:r>
      <w:r>
        <w:rPr>
          <w:sz w:val="24"/>
          <w:szCs w:val="24"/>
        </w:rPr>
        <w:t>25000,0</w:t>
      </w:r>
      <w:r w:rsidRPr="00335AEF">
        <w:rPr>
          <w:sz w:val="24"/>
          <w:szCs w:val="24"/>
        </w:rPr>
        <w:t xml:space="preserve"> тыс. рублей</w:t>
      </w:r>
      <w:r>
        <w:rPr>
          <w:sz w:val="24"/>
          <w:szCs w:val="24"/>
        </w:rPr>
        <w:t>,</w:t>
      </w:r>
      <w:r w:rsidRPr="00335AEF">
        <w:rPr>
          <w:sz w:val="24"/>
          <w:szCs w:val="24"/>
        </w:rPr>
        <w:t xml:space="preserve">  </w:t>
      </w:r>
      <w:r>
        <w:rPr>
          <w:bCs/>
          <w:iCs/>
          <w:sz w:val="24"/>
          <w:szCs w:val="24"/>
        </w:rPr>
        <w:t>исполнение составило 25000,0 тыс. рублей, или 100,0 процентов</w:t>
      </w:r>
      <w:r w:rsidRPr="00335AEF">
        <w:rPr>
          <w:bCs/>
          <w:iCs/>
          <w:sz w:val="24"/>
          <w:szCs w:val="24"/>
        </w:rPr>
        <w:t>.</w:t>
      </w:r>
    </w:p>
    <w:p w:rsidR="009C45F8" w:rsidRPr="001A299F" w:rsidRDefault="009C45F8" w:rsidP="00124114">
      <w:pPr>
        <w:widowControl w:val="0"/>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ru-RU"/>
        </w:rPr>
      </w:pPr>
      <w:r w:rsidRPr="001A299F">
        <w:rPr>
          <w:rFonts w:ascii="Times New Roman" w:eastAsia="Times New Roman" w:hAnsi="Times New Roman" w:cs="Times New Roman"/>
          <w:i/>
          <w:sz w:val="24"/>
          <w:szCs w:val="24"/>
          <w:lang w:eastAsia="ru-RU"/>
        </w:rPr>
        <w:t>Подпрограмма «Обеспечение реализации основных направлений государственной политики в сфере реализации государственной программы»</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Бюджетные ассигнования по подпрограмме «Обеспечение реализации основных направлений государственной политики в сфере реализации государственной программы»</w:t>
      </w:r>
      <w:r w:rsidRPr="001A299F">
        <w:rPr>
          <w:i/>
          <w:sz w:val="24"/>
          <w:szCs w:val="24"/>
        </w:rPr>
        <w:t xml:space="preserve"> </w:t>
      </w:r>
      <w:r w:rsidRPr="001A299F">
        <w:rPr>
          <w:rFonts w:ascii="Times New Roman" w:hAnsi="Times New Roman" w:cs="Times New Roman"/>
          <w:sz w:val="24"/>
          <w:szCs w:val="24"/>
        </w:rPr>
        <w:t xml:space="preserve">утверждены в расходах областного бюджета в сумме </w:t>
      </w:r>
      <w:r>
        <w:rPr>
          <w:rFonts w:ascii="Times New Roman" w:hAnsi="Times New Roman" w:cs="Times New Roman"/>
          <w:sz w:val="24"/>
          <w:szCs w:val="24"/>
        </w:rPr>
        <w:t>9839,5</w:t>
      </w:r>
      <w:r w:rsidRPr="001A299F">
        <w:rPr>
          <w:rFonts w:ascii="Times New Roman" w:hAnsi="Times New Roman" w:cs="Times New Roman"/>
          <w:sz w:val="24"/>
          <w:szCs w:val="24"/>
        </w:rPr>
        <w:t xml:space="preserve"> тыс. рублей. В общем объеме расходов государственной программы доля расходов по данной подпрограмме составляет </w:t>
      </w:r>
      <w:r>
        <w:rPr>
          <w:rFonts w:ascii="Times New Roman" w:hAnsi="Times New Roman" w:cs="Times New Roman"/>
          <w:sz w:val="24"/>
          <w:szCs w:val="24"/>
        </w:rPr>
        <w:br/>
        <w:t>5</w:t>
      </w:r>
      <w:r w:rsidRPr="001A299F">
        <w:rPr>
          <w:rFonts w:ascii="Times New Roman" w:hAnsi="Times New Roman" w:cs="Times New Roman"/>
          <w:sz w:val="24"/>
          <w:szCs w:val="24"/>
        </w:rPr>
        <w:t>,</w:t>
      </w:r>
      <w:r>
        <w:rPr>
          <w:rFonts w:ascii="Times New Roman" w:hAnsi="Times New Roman" w:cs="Times New Roman"/>
          <w:sz w:val="24"/>
          <w:szCs w:val="24"/>
        </w:rPr>
        <w:t>6</w:t>
      </w:r>
      <w:r w:rsidRPr="001A299F">
        <w:rPr>
          <w:rFonts w:ascii="Times New Roman" w:hAnsi="Times New Roman" w:cs="Times New Roman"/>
          <w:sz w:val="24"/>
          <w:szCs w:val="24"/>
        </w:rPr>
        <w:t xml:space="preserve"> процента.</w:t>
      </w:r>
    </w:p>
    <w:p w:rsidR="009C45F8" w:rsidRPr="001A299F" w:rsidRDefault="009C45F8" w:rsidP="009C45F8">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98,</w:t>
      </w:r>
      <w:r>
        <w:rPr>
          <w:rFonts w:ascii="Times New Roman" w:hAnsi="Times New Roman" w:cs="Times New Roman"/>
          <w:sz w:val="24"/>
          <w:szCs w:val="24"/>
        </w:rPr>
        <w:t>3</w:t>
      </w:r>
      <w:r w:rsidRPr="001A299F">
        <w:rPr>
          <w:rFonts w:ascii="Times New Roman" w:hAnsi="Times New Roman" w:cs="Times New Roman"/>
          <w:sz w:val="24"/>
          <w:szCs w:val="24"/>
        </w:rPr>
        <w:t xml:space="preserve"> процента плановых назначений (исполнение </w:t>
      </w:r>
      <w:r>
        <w:rPr>
          <w:rFonts w:ascii="Times New Roman" w:hAnsi="Times New Roman" w:cs="Times New Roman"/>
          <w:sz w:val="24"/>
          <w:szCs w:val="24"/>
        </w:rPr>
        <w:t>–</w:t>
      </w:r>
      <w:r w:rsidRPr="001A299F">
        <w:rPr>
          <w:rFonts w:ascii="Times New Roman" w:hAnsi="Times New Roman" w:cs="Times New Roman"/>
          <w:sz w:val="24"/>
          <w:szCs w:val="24"/>
        </w:rPr>
        <w:t xml:space="preserve"> </w:t>
      </w:r>
      <w:r>
        <w:rPr>
          <w:rFonts w:ascii="Times New Roman" w:hAnsi="Times New Roman" w:cs="Times New Roman"/>
          <w:sz w:val="24"/>
          <w:szCs w:val="24"/>
        </w:rPr>
        <w:t>9667,6</w:t>
      </w:r>
      <w:r w:rsidRPr="001A299F">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1A299F">
        <w:rPr>
          <w:rFonts w:ascii="Times New Roman" w:hAnsi="Times New Roman" w:cs="Times New Roman"/>
          <w:sz w:val="24"/>
          <w:szCs w:val="24"/>
        </w:rPr>
        <w:t>По данной подпрограмме осуществлялось финансирование расходов на обеспечение функций исполнительных органов государственной власти.</w:t>
      </w:r>
    </w:p>
    <w:p w:rsidR="009C45F8" w:rsidRPr="00B8655E" w:rsidRDefault="009C45F8" w:rsidP="009C45F8">
      <w:pPr>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Основные направления исполнения расходов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представлены на </w:t>
      </w:r>
      <w:r w:rsidRPr="00B8655E">
        <w:rPr>
          <w:rFonts w:ascii="Times New Roman" w:eastAsia="Times New Roman" w:hAnsi="Times New Roman" w:cs="Times New Roman"/>
          <w:sz w:val="24"/>
          <w:szCs w:val="24"/>
          <w:lang w:eastAsia="ru-RU"/>
        </w:rPr>
        <w:t xml:space="preserve">рисунке </w:t>
      </w:r>
      <w:r w:rsidR="00B8655E" w:rsidRPr="00B8655E">
        <w:rPr>
          <w:rFonts w:ascii="Times New Roman" w:eastAsia="Times New Roman" w:hAnsi="Times New Roman" w:cs="Times New Roman"/>
          <w:sz w:val="24"/>
          <w:szCs w:val="24"/>
          <w:lang w:eastAsia="ru-RU"/>
        </w:rPr>
        <w:t>29</w:t>
      </w:r>
      <w:r w:rsidRPr="00B8655E">
        <w:rPr>
          <w:rFonts w:ascii="Times New Roman" w:eastAsia="Times New Roman" w:hAnsi="Times New Roman" w:cs="Times New Roman"/>
          <w:sz w:val="24"/>
          <w:szCs w:val="24"/>
          <w:lang w:eastAsia="ru-RU"/>
        </w:rPr>
        <w:t>.</w:t>
      </w:r>
    </w:p>
    <w:p w:rsidR="00B8655E" w:rsidRPr="001A299F" w:rsidRDefault="00B8655E" w:rsidP="00B8655E">
      <w:pPr>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В сводном годовом докладе о ходе реализации и об оценке эффективности реализации государственных программ области (приложение № 1 к сводному докладу), представленном одновременно с проектом закона Амурской области «Об исполнении областного бюджета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1A299F">
        <w:rPr>
          <w:rFonts w:ascii="Times New Roman" w:hAnsi="Times New Roman" w:cs="Times New Roman"/>
          <w:sz w:val="24"/>
          <w:szCs w:val="24"/>
        </w:rPr>
        <w:t>бюджетные ассигнования по государственной программе «</w:t>
      </w:r>
      <w:r w:rsidRPr="001A299F">
        <w:rPr>
          <w:rFonts w:ascii="Times New Roman" w:eastAsia="Times New Roman" w:hAnsi="Times New Roman" w:cs="Times New Roman"/>
          <w:sz w:val="24"/>
          <w:szCs w:val="24"/>
          <w:lang w:eastAsia="ru-RU"/>
        </w:rPr>
        <w:t xml:space="preserve">Развитие физической </w:t>
      </w:r>
      <w:r w:rsidRPr="001A299F">
        <w:rPr>
          <w:rFonts w:ascii="Times New Roman" w:eastAsia="Times New Roman" w:hAnsi="Times New Roman" w:cs="Times New Roman"/>
          <w:sz w:val="24"/>
          <w:szCs w:val="24"/>
          <w:lang w:eastAsia="ru-RU"/>
        </w:rPr>
        <w:lastRenderedPageBreak/>
        <w:t xml:space="preserve">культуры и спорта на территории Амурской области на 2014-2020 годы» </w:t>
      </w:r>
      <w:r w:rsidRPr="001A299F">
        <w:rPr>
          <w:rFonts w:ascii="Times New Roman" w:hAnsi="Times New Roman" w:cs="Times New Roman"/>
          <w:sz w:val="24"/>
          <w:szCs w:val="24"/>
        </w:rPr>
        <w:t>отражены в разрезе подпрограмм и мероприятий в объемах, утвержденных сводной бюджетной росписью на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Результаты исполнения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 по государственной программе, отраженные в сводном годовом докладе, соответствуют результатам исполнения областного бюджета по государственной программе, отраженным в законопроекте.</w:t>
      </w:r>
    </w:p>
    <w:p w:rsidR="009C45F8" w:rsidRPr="001A299F" w:rsidRDefault="009C45F8" w:rsidP="009C45F8">
      <w:pPr>
        <w:spacing w:after="0" w:line="240" w:lineRule="auto"/>
        <w:ind w:firstLine="709"/>
        <w:jc w:val="both"/>
        <w:rPr>
          <w:rFonts w:ascii="Times New Roman" w:hAnsi="Times New Roman" w:cs="Times New Roman"/>
          <w:sz w:val="24"/>
          <w:szCs w:val="24"/>
        </w:rPr>
      </w:pPr>
    </w:p>
    <w:p w:rsidR="009C45F8" w:rsidRDefault="009C45F8" w:rsidP="009C45F8">
      <w:pPr>
        <w:spacing w:after="0" w:line="240" w:lineRule="auto"/>
        <w:jc w:val="both"/>
        <w:rPr>
          <w:rFonts w:ascii="Times New Roman" w:hAnsi="Times New Roman" w:cs="Times New Roman"/>
          <w:b/>
          <w:sz w:val="24"/>
          <w:szCs w:val="24"/>
        </w:rPr>
      </w:pPr>
      <w:r w:rsidRPr="001A299F">
        <w:rPr>
          <w:rFonts w:ascii="Times New Roman" w:hAnsi="Times New Roman" w:cs="Times New Roman"/>
          <w:noProof/>
          <w:sz w:val="24"/>
          <w:szCs w:val="24"/>
          <w:lang w:eastAsia="ru-RU"/>
        </w:rPr>
        <w:drawing>
          <wp:inline distT="0" distB="0" distL="0" distR="0" wp14:anchorId="4AC5C713" wp14:editId="2072F4E7">
            <wp:extent cx="6400800" cy="3726611"/>
            <wp:effectExtent l="0" t="0" r="0" b="762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C45F8" w:rsidRDefault="009C45F8" w:rsidP="009C45F8">
      <w:pPr>
        <w:spacing w:after="0" w:line="240" w:lineRule="auto"/>
        <w:ind w:firstLine="709"/>
        <w:jc w:val="center"/>
        <w:rPr>
          <w:rFonts w:ascii="Times New Roman" w:eastAsia="Times New Roman" w:hAnsi="Times New Roman" w:cs="Times New Roman"/>
          <w:b/>
          <w:sz w:val="24"/>
          <w:szCs w:val="24"/>
          <w:lang w:eastAsia="ru-RU"/>
        </w:rPr>
      </w:pPr>
      <w:r w:rsidRPr="00DC0BAB">
        <w:rPr>
          <w:rFonts w:ascii="Times New Roman" w:hAnsi="Times New Roman" w:cs="Times New Roman"/>
          <w:b/>
          <w:sz w:val="24"/>
          <w:szCs w:val="24"/>
        </w:rPr>
        <w:t xml:space="preserve">Рис. </w:t>
      </w:r>
      <w:r w:rsidR="00DC0BAB" w:rsidRPr="00DC0BAB">
        <w:rPr>
          <w:rFonts w:ascii="Times New Roman" w:hAnsi="Times New Roman" w:cs="Times New Roman"/>
          <w:b/>
          <w:sz w:val="24"/>
          <w:szCs w:val="24"/>
        </w:rPr>
        <w:t>29</w:t>
      </w:r>
      <w:r w:rsidRPr="00DC0BAB">
        <w:rPr>
          <w:rFonts w:ascii="Times New Roman" w:hAnsi="Times New Roman" w:cs="Times New Roman"/>
          <w:b/>
          <w:sz w:val="24"/>
          <w:szCs w:val="24"/>
        </w:rPr>
        <w:t xml:space="preserve"> </w:t>
      </w:r>
      <w:r w:rsidRPr="00CE0D71">
        <w:rPr>
          <w:rFonts w:ascii="Times New Roman" w:hAnsi="Times New Roman" w:cs="Times New Roman"/>
          <w:b/>
          <w:sz w:val="24"/>
          <w:szCs w:val="24"/>
        </w:rPr>
        <w:t xml:space="preserve">- Основные </w:t>
      </w:r>
      <w:r w:rsidRPr="001A299F">
        <w:rPr>
          <w:rFonts w:ascii="Times New Roman" w:hAnsi="Times New Roman" w:cs="Times New Roman"/>
          <w:b/>
          <w:sz w:val="24"/>
          <w:szCs w:val="24"/>
        </w:rPr>
        <w:t>направления исполнения расходов областного бюджета за</w:t>
      </w:r>
      <w:r w:rsidRPr="001A299F">
        <w:rPr>
          <w:rFonts w:ascii="Times New Roman" w:hAnsi="Times New Roman" w:cs="Times New Roman"/>
          <w:b/>
          <w:sz w:val="24"/>
          <w:szCs w:val="24"/>
        </w:rPr>
        <w:br/>
        <w:t>201</w:t>
      </w:r>
      <w:r>
        <w:rPr>
          <w:rFonts w:ascii="Times New Roman" w:hAnsi="Times New Roman" w:cs="Times New Roman"/>
          <w:b/>
          <w:sz w:val="24"/>
          <w:szCs w:val="24"/>
        </w:rPr>
        <w:t>7</w:t>
      </w:r>
      <w:r w:rsidRPr="001A299F">
        <w:rPr>
          <w:rFonts w:ascii="Times New Roman" w:hAnsi="Times New Roman" w:cs="Times New Roman"/>
          <w:b/>
          <w:sz w:val="24"/>
          <w:szCs w:val="24"/>
        </w:rPr>
        <w:t xml:space="preserve"> год по государственной программе «</w:t>
      </w:r>
      <w:r w:rsidRPr="001A299F">
        <w:rPr>
          <w:rFonts w:ascii="Times New Roman" w:eastAsia="Times New Roman" w:hAnsi="Times New Roman" w:cs="Times New Roman"/>
          <w:b/>
          <w:sz w:val="24"/>
          <w:szCs w:val="24"/>
          <w:lang w:eastAsia="ru-RU"/>
        </w:rPr>
        <w:t>Развитие физической культуры и спорта на территории Амурской области на 2014-2020 годы», млн. руб.</w:t>
      </w:r>
    </w:p>
    <w:p w:rsidR="009C45F8" w:rsidRDefault="009C45F8" w:rsidP="009C45F8">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государственной программе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2014-2020 годы» </w:t>
      </w:r>
      <w:r>
        <w:rPr>
          <w:rFonts w:ascii="Times New Roman" w:eastAsia="Times New Roman" w:hAnsi="Times New Roman" w:cs="Times New Roman"/>
          <w:sz w:val="24"/>
          <w:szCs w:val="24"/>
          <w:lang w:eastAsia="ru-RU"/>
        </w:rPr>
        <w:t>в 2017 году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Вместе с тем, не достигнут ряд показателей (индикаторов) эффективности</w:t>
      </w:r>
      <w:r w:rsidRPr="00495903">
        <w:rPr>
          <w:rFonts w:ascii="Times New Roman" w:eastAsia="Times New Roman" w:hAnsi="Times New Roman" w:cs="Times New Roman"/>
          <w:sz w:val="24"/>
          <w:szCs w:val="24"/>
          <w:lang w:eastAsia="ru-RU"/>
        </w:rPr>
        <w:t xml:space="preserve"> </w:t>
      </w:r>
      <w:r w:rsidRPr="0057015A">
        <w:rPr>
          <w:rFonts w:ascii="Times New Roman" w:eastAsia="Times New Roman" w:hAnsi="Times New Roman" w:cs="Times New Roman"/>
          <w:sz w:val="24"/>
          <w:szCs w:val="24"/>
          <w:lang w:eastAsia="ru-RU"/>
        </w:rPr>
        <w:t>подпрограмм:</w:t>
      </w:r>
    </w:p>
    <w:p w:rsidR="009C45F8" w:rsidRDefault="009C45F8" w:rsidP="00124114">
      <w:pPr>
        <w:pStyle w:val="afa"/>
        <w:numPr>
          <w:ilvl w:val="0"/>
          <w:numId w:val="11"/>
        </w:numPr>
        <w:tabs>
          <w:tab w:val="left" w:pos="851"/>
        </w:tabs>
        <w:ind w:left="0" w:firstLine="709"/>
        <w:jc w:val="both"/>
        <w:rPr>
          <w:sz w:val="24"/>
          <w:szCs w:val="24"/>
        </w:rPr>
      </w:pPr>
      <w:r w:rsidRPr="008F0609">
        <w:rPr>
          <w:sz w:val="24"/>
          <w:szCs w:val="24"/>
        </w:rPr>
        <w:t>Доля учащихся и студентов Амурской области, систематически занимающихся физической культурой и спортом, в общей численности учащихся и студентов</w:t>
      </w:r>
      <w:r>
        <w:rPr>
          <w:sz w:val="24"/>
          <w:szCs w:val="24"/>
        </w:rPr>
        <w:t xml:space="preserve"> (в процентах), </w:t>
      </w:r>
      <w:r w:rsidRPr="0057015A">
        <w:rPr>
          <w:sz w:val="24"/>
          <w:szCs w:val="24"/>
        </w:rPr>
        <w:t>уровень достижения показателя – 9</w:t>
      </w:r>
      <w:r>
        <w:rPr>
          <w:sz w:val="24"/>
          <w:szCs w:val="24"/>
        </w:rPr>
        <w:t>1</w:t>
      </w:r>
      <w:r w:rsidRPr="0057015A">
        <w:rPr>
          <w:sz w:val="24"/>
          <w:szCs w:val="24"/>
        </w:rPr>
        <w:t>,0 процент</w:t>
      </w:r>
      <w:r>
        <w:rPr>
          <w:sz w:val="24"/>
          <w:szCs w:val="24"/>
        </w:rPr>
        <w:t xml:space="preserve"> (</w:t>
      </w:r>
      <w:r w:rsidRPr="0057015A">
        <w:rPr>
          <w:sz w:val="24"/>
          <w:szCs w:val="24"/>
        </w:rPr>
        <w:t xml:space="preserve">плановый показатель - </w:t>
      </w:r>
      <w:r>
        <w:rPr>
          <w:sz w:val="24"/>
          <w:szCs w:val="24"/>
        </w:rPr>
        <w:t>63</w:t>
      </w:r>
      <w:r w:rsidRPr="0057015A">
        <w:rPr>
          <w:sz w:val="24"/>
          <w:szCs w:val="24"/>
        </w:rPr>
        <w:t>,</w:t>
      </w:r>
      <w:r>
        <w:rPr>
          <w:sz w:val="24"/>
          <w:szCs w:val="24"/>
        </w:rPr>
        <w:t>0</w:t>
      </w:r>
      <w:r w:rsidRPr="0057015A">
        <w:rPr>
          <w:sz w:val="24"/>
          <w:szCs w:val="24"/>
        </w:rPr>
        <w:t xml:space="preserve"> процента</w:t>
      </w:r>
      <w:r>
        <w:rPr>
          <w:sz w:val="24"/>
          <w:szCs w:val="24"/>
        </w:rPr>
        <w:t xml:space="preserve">, </w:t>
      </w:r>
      <w:r w:rsidRPr="00A5004E">
        <w:rPr>
          <w:sz w:val="24"/>
          <w:szCs w:val="24"/>
        </w:rPr>
        <w:t xml:space="preserve">фактически достигнутый показатель – </w:t>
      </w:r>
      <w:r>
        <w:rPr>
          <w:sz w:val="24"/>
          <w:szCs w:val="24"/>
        </w:rPr>
        <w:t>57,5 процента</w:t>
      </w:r>
      <w:r w:rsidRPr="00A5004E">
        <w:rPr>
          <w:sz w:val="24"/>
          <w:szCs w:val="24"/>
        </w:rPr>
        <w:t>, причина недостижения показателя</w:t>
      </w:r>
      <w:r>
        <w:rPr>
          <w:sz w:val="24"/>
          <w:szCs w:val="24"/>
        </w:rPr>
        <w:t xml:space="preserve"> – занятия в ДЮСШ ограничены возрастом 18 лет).</w:t>
      </w:r>
    </w:p>
    <w:p w:rsidR="009C45F8" w:rsidRDefault="009C45F8" w:rsidP="00124114">
      <w:pPr>
        <w:pStyle w:val="afa"/>
        <w:numPr>
          <w:ilvl w:val="0"/>
          <w:numId w:val="11"/>
        </w:numPr>
        <w:tabs>
          <w:tab w:val="left" w:pos="567"/>
          <w:tab w:val="left" w:pos="851"/>
        </w:tabs>
        <w:ind w:left="0" w:firstLine="709"/>
        <w:jc w:val="both"/>
        <w:rPr>
          <w:sz w:val="24"/>
          <w:szCs w:val="24"/>
        </w:rPr>
      </w:pPr>
      <w:r w:rsidRPr="00341539">
        <w:rPr>
          <w:sz w:val="24"/>
          <w:szCs w:val="24"/>
        </w:rPr>
        <w:t>Обеспеченность плавательными бассейнами на 10 тыс. населения Амурской области (в процентах)</w:t>
      </w:r>
      <w:r>
        <w:rPr>
          <w:sz w:val="24"/>
          <w:szCs w:val="24"/>
        </w:rPr>
        <w:t>,</w:t>
      </w:r>
      <w:r w:rsidRPr="00341539">
        <w:rPr>
          <w:sz w:val="24"/>
          <w:szCs w:val="24"/>
        </w:rPr>
        <w:t xml:space="preserve"> уровень достижения показателя – 97,0 процентов (плановый показатель – </w:t>
      </w:r>
      <w:r>
        <w:rPr>
          <w:sz w:val="24"/>
          <w:szCs w:val="24"/>
        </w:rPr>
        <w:br/>
      </w:r>
      <w:r w:rsidRPr="00341539">
        <w:rPr>
          <w:sz w:val="24"/>
          <w:szCs w:val="24"/>
        </w:rPr>
        <w:t xml:space="preserve">6,0 процентов, фактически достигнутый показатель – 5,8 процента, причина недостижения показателя – не завершено строительство спортивного центра в </w:t>
      </w:r>
      <w:r w:rsidR="008649C0" w:rsidRPr="00341539">
        <w:rPr>
          <w:sz w:val="24"/>
          <w:szCs w:val="24"/>
        </w:rPr>
        <w:t>г. Белогорске</w:t>
      </w:r>
      <w:r w:rsidRPr="00341539">
        <w:rPr>
          <w:sz w:val="24"/>
          <w:szCs w:val="24"/>
        </w:rPr>
        <w:t>, спортивного комплекса ЗАТО</w:t>
      </w:r>
      <w:r>
        <w:rPr>
          <w:sz w:val="24"/>
          <w:szCs w:val="24"/>
        </w:rPr>
        <w:t xml:space="preserve"> Циолковский).</w:t>
      </w:r>
      <w:r w:rsidRPr="00341539">
        <w:rPr>
          <w:sz w:val="24"/>
          <w:szCs w:val="24"/>
        </w:rPr>
        <w:t xml:space="preserve"> </w:t>
      </w:r>
    </w:p>
    <w:p w:rsidR="009C45F8" w:rsidRPr="00595C41" w:rsidRDefault="009C45F8" w:rsidP="00124114">
      <w:pPr>
        <w:pStyle w:val="afa"/>
        <w:numPr>
          <w:ilvl w:val="0"/>
          <w:numId w:val="11"/>
        </w:numPr>
        <w:tabs>
          <w:tab w:val="left" w:pos="284"/>
          <w:tab w:val="left" w:pos="567"/>
          <w:tab w:val="left" w:pos="993"/>
        </w:tabs>
        <w:ind w:left="0" w:firstLine="709"/>
        <w:jc w:val="both"/>
        <w:rPr>
          <w:sz w:val="24"/>
          <w:szCs w:val="24"/>
        </w:rPr>
      </w:pPr>
      <w:r w:rsidRPr="00595C41">
        <w:rPr>
          <w:sz w:val="24"/>
          <w:szCs w:val="24"/>
        </w:rPr>
        <w:t xml:space="preserve">Доля спортсменов-разрядников, имеющих разряды и звания (от 1 разряда до спортивного звания </w:t>
      </w:r>
      <w:r>
        <w:rPr>
          <w:sz w:val="24"/>
          <w:szCs w:val="24"/>
        </w:rPr>
        <w:t>«</w:t>
      </w:r>
      <w:r w:rsidRPr="00595C41">
        <w:rPr>
          <w:sz w:val="24"/>
          <w:szCs w:val="24"/>
        </w:rPr>
        <w:t>Заслуженный мастер спорта</w:t>
      </w:r>
      <w:r>
        <w:rPr>
          <w:sz w:val="24"/>
          <w:szCs w:val="24"/>
        </w:rPr>
        <w:t>»</w:t>
      </w:r>
      <w:r w:rsidRPr="00595C41">
        <w:rPr>
          <w:sz w:val="24"/>
          <w:szCs w:val="24"/>
        </w:rPr>
        <w:t>),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(в процентах), уровень достижения показателя – 83,0 процента (плановый показатель – 32,0 процента, фактически достигнутый показатель – 26,6 процента, причина недостижения показателя – показатель не соответствует государственной программе</w:t>
      </w:r>
      <w:r>
        <w:rPr>
          <w:sz w:val="24"/>
          <w:szCs w:val="24"/>
        </w:rPr>
        <w:t xml:space="preserve"> Российской Федерации</w:t>
      </w:r>
      <w:r w:rsidRPr="00595C41">
        <w:rPr>
          <w:sz w:val="24"/>
          <w:szCs w:val="24"/>
        </w:rPr>
        <w:t>).</w:t>
      </w:r>
    </w:p>
    <w:p w:rsidR="009C45F8" w:rsidRDefault="009C45F8" w:rsidP="009C45F8">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Согласно оценке эффективности государственных программ Амурской области в </w:t>
      </w:r>
      <w:r>
        <w:rPr>
          <w:rFonts w:ascii="Times New Roman" w:hAnsi="Times New Roman" w:cs="Times New Roman"/>
          <w:sz w:val="24"/>
          <w:szCs w:val="24"/>
        </w:rPr>
        <w:br/>
        <w:t xml:space="preserve">2017 году, представленной в сводном годовом докладе </w:t>
      </w:r>
      <w:r w:rsidRPr="001A299F">
        <w:rPr>
          <w:rFonts w:ascii="Times New Roman" w:hAnsi="Times New Roman" w:cs="Times New Roman"/>
          <w:sz w:val="24"/>
          <w:szCs w:val="24"/>
        </w:rPr>
        <w:t>о ходе реализации и об оценке эффективности реализации государственных программ области</w:t>
      </w:r>
      <w:r>
        <w:rPr>
          <w:rFonts w:ascii="Times New Roman" w:hAnsi="Times New Roman" w:cs="Times New Roman"/>
          <w:sz w:val="24"/>
          <w:szCs w:val="24"/>
        </w:rPr>
        <w:t xml:space="preserve">, государственная программа </w:t>
      </w:r>
      <w:r w:rsidRPr="001A299F">
        <w:rPr>
          <w:rFonts w:ascii="Times New Roman" w:hAnsi="Times New Roman" w:cs="Times New Roman"/>
          <w:sz w:val="24"/>
          <w:szCs w:val="24"/>
        </w:rPr>
        <w:t>«</w:t>
      </w:r>
      <w:r w:rsidRPr="001A299F">
        <w:rPr>
          <w:rFonts w:ascii="Times New Roman" w:eastAsia="Times New Roman" w:hAnsi="Times New Roman" w:cs="Times New Roman"/>
          <w:sz w:val="24"/>
          <w:szCs w:val="24"/>
          <w:lang w:eastAsia="ru-RU"/>
        </w:rPr>
        <w:t xml:space="preserve">Развитие физической культуры и спорта на территории Амурской области на </w:t>
      </w:r>
      <w:r>
        <w:rPr>
          <w:rFonts w:ascii="Times New Roman" w:eastAsia="Times New Roman" w:hAnsi="Times New Roman" w:cs="Times New Roman"/>
          <w:sz w:val="24"/>
          <w:szCs w:val="24"/>
          <w:lang w:eastAsia="ru-RU"/>
        </w:rPr>
        <w:br/>
      </w:r>
      <w:r w:rsidRPr="001A299F">
        <w:rPr>
          <w:rFonts w:ascii="Times New Roman" w:eastAsia="Times New Roman" w:hAnsi="Times New Roman" w:cs="Times New Roman"/>
          <w:sz w:val="24"/>
          <w:szCs w:val="24"/>
          <w:lang w:eastAsia="ru-RU"/>
        </w:rPr>
        <w:t xml:space="preserve">2014-2020 годы» </w:t>
      </w:r>
      <w:r>
        <w:rPr>
          <w:rFonts w:ascii="Times New Roman" w:eastAsia="Times New Roman" w:hAnsi="Times New Roman" w:cs="Times New Roman"/>
          <w:sz w:val="24"/>
          <w:szCs w:val="24"/>
          <w:lang w:eastAsia="ru-RU"/>
        </w:rPr>
        <w:t>признана умеренно эффективной.</w:t>
      </w:r>
    </w:p>
    <w:p w:rsidR="009C45F8" w:rsidRDefault="009C45F8" w:rsidP="009C45F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DC0BAB" w:rsidRPr="00BF2884" w:rsidRDefault="00DC0BAB" w:rsidP="00DC0BAB">
      <w:pPr>
        <w:widowControl w:val="0"/>
        <w:autoSpaceDE w:val="0"/>
        <w:autoSpaceDN w:val="0"/>
        <w:adjustRightInd w:val="0"/>
        <w:spacing w:before="360" w:after="0" w:line="240" w:lineRule="auto"/>
        <w:ind w:firstLine="709"/>
        <w:jc w:val="both"/>
        <w:rPr>
          <w:rFonts w:ascii="Times New Roman" w:eastAsia="Times New Roman" w:hAnsi="Times New Roman" w:cs="Times New Roman"/>
          <w:b/>
          <w:sz w:val="24"/>
          <w:szCs w:val="24"/>
          <w:lang w:eastAsia="ru-RU"/>
        </w:rPr>
      </w:pPr>
      <w:r w:rsidRPr="00BF2884">
        <w:rPr>
          <w:rFonts w:ascii="Times New Roman" w:eastAsia="Times New Roman" w:hAnsi="Times New Roman" w:cs="Times New Roman"/>
          <w:b/>
          <w:sz w:val="24"/>
          <w:szCs w:val="24"/>
          <w:lang w:eastAsia="ru-RU"/>
        </w:rPr>
        <w:t>5.10. Государственная программа «Повышение эффективности деятельности органов государственной власти и управления Амурской области на 2014-2020 годы»</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Государственная программа «Повышение эффективности деятельности органов государственной власти и управления Амурской области на 2014-2020 годы» утверждена постановлением Правительства Амурской области от 25.09.2013 № 442 с объемом ассигнований на 2017 год в сумме 5809081,2 тыс. рублей, в том числе:</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 за счет средств областного бюджета в сумме 5650187,1 тыс. рублей;</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 за счет средств федерального бюджета в сумме 158894,1 тыс. рублей.</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Координатором государственной программы является министерство финансов Амурской области.</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 xml:space="preserve">Законом Амурской области «Об областном бюджете на 2017 год и плановый период 2018 и 2019 годов» на реализацию государственной программы «Повышение эффективности деятельности органов государственной власти и управления Амурской области на </w:t>
      </w:r>
      <w:r w:rsidRPr="00DC0BAB">
        <w:rPr>
          <w:rFonts w:ascii="Times New Roman" w:eastAsia="Times New Roman" w:hAnsi="Times New Roman" w:cs="Times New Roman"/>
          <w:sz w:val="24"/>
          <w:szCs w:val="24"/>
          <w:lang w:eastAsia="ru-RU"/>
        </w:rPr>
        <w:br/>
        <w:t>2014-2020 годы» утверждены бюджетные ассигнования в сумме 5809081,2 тыс. рублей, что соответствует бюджетным назначениям, предусмотренным государственной программой.</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Сводной бюджетной росписью расходов областного бюджета на 2017 год на реализацию программы предусмотрено 5807735,5 тыс. рублей.</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 xml:space="preserve">Отклонение показателей сводной бюджетной росписи расходов от плановых показателей, утвержденных законом области об областном бюджете и государственной программой, в сторону уменьшения составляет 1345,7 тыс. рублей. </w:t>
      </w:r>
    </w:p>
    <w:p w:rsidR="00DC0BAB" w:rsidRPr="00DC0BAB" w:rsidRDefault="00DC0BAB" w:rsidP="00DC0BA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0BAB">
        <w:rPr>
          <w:rFonts w:ascii="Times New Roman" w:eastAsia="Times New Roman" w:hAnsi="Times New Roman" w:cs="Times New Roman"/>
          <w:sz w:val="24"/>
          <w:szCs w:val="24"/>
          <w:lang w:eastAsia="ru-RU"/>
        </w:rPr>
        <w:t>По информации, представленной министерством финансов Амурской области, данное уменьшение связано с сокращением дотации на выравнивание бюджетной обеспеченности бюджетам муниципальных образований области в связи с</w:t>
      </w:r>
      <w:r w:rsidRPr="00DC0BAB">
        <w:rPr>
          <w:rFonts w:ascii="Times New Roman" w:hAnsi="Times New Roman" w:cs="Times New Roman"/>
          <w:sz w:val="24"/>
          <w:szCs w:val="24"/>
        </w:rPr>
        <w:t xml:space="preserve"> несоблюдением органами местного самоуправления муниципальных образований области условий предоставления межбюджетных трансфертов из областного бюджета, определенных бюджетным законодательством Российской Федерации</w:t>
      </w:r>
      <w:r w:rsidR="00E1589F">
        <w:rPr>
          <w:rFonts w:ascii="Times New Roman" w:hAnsi="Times New Roman" w:cs="Times New Roman"/>
          <w:sz w:val="24"/>
          <w:szCs w:val="24"/>
        </w:rPr>
        <w:t>.</w:t>
      </w:r>
      <w:proofErr w:type="gramEnd"/>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Исполнение плановых назначений, предусмотренных на реализацию программы сводной бюджетной росписью расходов, составило 5746206,0 тыс. рублей, или 98,9 процента (объем неисполненных ассигнований составил 61529,5 тыс. рублей).</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 xml:space="preserve">Государственная программа «Повышение эффективности деятельности органов государственной власти и управления Амурской области на 2014-2020 годы» включает </w:t>
      </w:r>
      <w:r w:rsidRPr="00DC0BAB">
        <w:rPr>
          <w:rFonts w:ascii="Times New Roman" w:eastAsia="Times New Roman" w:hAnsi="Times New Roman" w:cs="Times New Roman"/>
          <w:sz w:val="24"/>
          <w:szCs w:val="24"/>
          <w:lang w:eastAsia="ru-RU"/>
        </w:rPr>
        <w:br/>
        <w:t>6 подпрограмм.</w:t>
      </w:r>
    </w:p>
    <w:p w:rsidR="00DC0BAB" w:rsidRPr="00DC0BAB" w:rsidRDefault="00DC0BAB" w:rsidP="00DC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0BAB">
        <w:rPr>
          <w:rFonts w:ascii="Times New Roman" w:eastAsia="Times New Roman" w:hAnsi="Times New Roman" w:cs="Times New Roman"/>
          <w:sz w:val="24"/>
          <w:szCs w:val="24"/>
          <w:lang w:eastAsia="ru-RU"/>
        </w:rPr>
        <w:t>В таблице</w:t>
      </w:r>
      <w:r>
        <w:rPr>
          <w:rFonts w:ascii="Times New Roman" w:eastAsia="Times New Roman" w:hAnsi="Times New Roman" w:cs="Times New Roman"/>
          <w:sz w:val="24"/>
          <w:szCs w:val="24"/>
          <w:lang w:eastAsia="ru-RU"/>
        </w:rPr>
        <w:t xml:space="preserve"> 13</w:t>
      </w:r>
      <w:r w:rsidRPr="00DC0BAB">
        <w:rPr>
          <w:rFonts w:ascii="Times New Roman" w:eastAsia="Times New Roman" w:hAnsi="Times New Roman" w:cs="Times New Roman"/>
          <w:sz w:val="24"/>
          <w:szCs w:val="24"/>
          <w:lang w:eastAsia="ru-RU"/>
        </w:rPr>
        <w:t xml:space="preserve"> представлена информация об исполнении государственной программы «Повышение эффективности деятельности органов государственной власти и управления Амурской области на 2014-2020 годы» за 2017 год в разрезе подпрограмм.</w:t>
      </w:r>
    </w:p>
    <w:p w:rsidR="00DC0BAB" w:rsidRPr="00B35830" w:rsidRDefault="00DC0BAB" w:rsidP="00DC0B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35830">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13</w:t>
      </w:r>
    </w:p>
    <w:p w:rsidR="00DC0BAB" w:rsidRPr="00211ABD" w:rsidRDefault="00DC0BAB" w:rsidP="00DC0BA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11ABD">
        <w:rPr>
          <w:rFonts w:ascii="Times New Roman" w:eastAsia="Times New Roman" w:hAnsi="Times New Roman" w:cs="Times New Roman"/>
          <w:b/>
          <w:sz w:val="24"/>
          <w:szCs w:val="24"/>
          <w:lang w:eastAsia="ru-RU"/>
        </w:rPr>
        <w:t>Информация об исполнении государственной программы «Повышение эффективности деятельности органов государственной власти и управления Амурской области на 2014-2020 годы»</w:t>
      </w:r>
    </w:p>
    <w:p w:rsidR="00DC0BAB" w:rsidRPr="00B35830" w:rsidRDefault="00DC0BAB" w:rsidP="00DC0BAB">
      <w:pPr>
        <w:spacing w:before="120" w:after="0"/>
        <w:jc w:val="right"/>
        <w:rPr>
          <w:rFonts w:ascii="Times New Roman" w:eastAsia="Times New Roman" w:hAnsi="Times New Roman" w:cs="Times New Roman"/>
          <w:sz w:val="24"/>
          <w:szCs w:val="24"/>
          <w:lang w:eastAsia="ru-RU"/>
        </w:rPr>
      </w:pPr>
      <w:r w:rsidRPr="00B35830">
        <w:rPr>
          <w:rFonts w:ascii="Times New Roman" w:eastAsia="Times New Roman" w:hAnsi="Times New Roman" w:cs="Times New Roman"/>
          <w:sz w:val="24"/>
          <w:szCs w:val="24"/>
          <w:lang w:eastAsia="ru-RU"/>
        </w:rPr>
        <w:t>тыс. рублей</w:t>
      </w:r>
    </w:p>
    <w:tbl>
      <w:tblPr>
        <w:tblStyle w:val="a6"/>
        <w:tblW w:w="9731" w:type="dxa"/>
        <w:tblLook w:val="04A0" w:firstRow="1" w:lastRow="0" w:firstColumn="1" w:lastColumn="0" w:noHBand="0" w:noVBand="1"/>
      </w:tblPr>
      <w:tblGrid>
        <w:gridCol w:w="4644"/>
        <w:gridCol w:w="1276"/>
        <w:gridCol w:w="1463"/>
        <w:gridCol w:w="1135"/>
        <w:gridCol w:w="1213"/>
      </w:tblGrid>
      <w:tr w:rsidR="00DC0BAB" w:rsidRPr="00BA3E0D" w:rsidTr="000B66CB">
        <w:trPr>
          <w:trHeight w:val="754"/>
          <w:tblHeader/>
        </w:trPr>
        <w:tc>
          <w:tcPr>
            <w:tcW w:w="4644" w:type="dxa"/>
          </w:tcPr>
          <w:p w:rsidR="00DC0BAB" w:rsidRPr="00B35830" w:rsidRDefault="00DC0BAB" w:rsidP="000B66CB">
            <w:pPr>
              <w:widowControl w:val="0"/>
              <w:autoSpaceDE w:val="0"/>
              <w:autoSpaceDN w:val="0"/>
              <w:adjustRightInd w:val="0"/>
              <w:jc w:val="center"/>
              <w:rPr>
                <w:bCs/>
                <w:sz w:val="22"/>
                <w:szCs w:val="22"/>
              </w:rPr>
            </w:pPr>
            <w:r w:rsidRPr="00B35830">
              <w:rPr>
                <w:bCs/>
                <w:sz w:val="22"/>
                <w:szCs w:val="22"/>
              </w:rPr>
              <w:t>Наименование государственной программы/подпрограммы</w:t>
            </w:r>
          </w:p>
        </w:tc>
        <w:tc>
          <w:tcPr>
            <w:tcW w:w="1276" w:type="dxa"/>
            <w:noWrap/>
          </w:tcPr>
          <w:p w:rsidR="00DC0BAB" w:rsidRPr="00B35830" w:rsidRDefault="00DC0BAB" w:rsidP="000B66CB">
            <w:pPr>
              <w:widowControl w:val="0"/>
              <w:autoSpaceDE w:val="0"/>
              <w:autoSpaceDN w:val="0"/>
              <w:adjustRightInd w:val="0"/>
              <w:jc w:val="center"/>
              <w:rPr>
                <w:bCs/>
                <w:sz w:val="22"/>
                <w:szCs w:val="22"/>
              </w:rPr>
            </w:pPr>
            <w:r w:rsidRPr="00B35830">
              <w:rPr>
                <w:bCs/>
                <w:sz w:val="22"/>
                <w:szCs w:val="22"/>
              </w:rPr>
              <w:t>План</w:t>
            </w:r>
          </w:p>
        </w:tc>
        <w:tc>
          <w:tcPr>
            <w:tcW w:w="1463" w:type="dxa"/>
            <w:noWrap/>
          </w:tcPr>
          <w:p w:rsidR="00DC0BAB" w:rsidRPr="00B35830" w:rsidRDefault="00DC0BAB" w:rsidP="000B66CB">
            <w:pPr>
              <w:widowControl w:val="0"/>
              <w:autoSpaceDE w:val="0"/>
              <w:autoSpaceDN w:val="0"/>
              <w:adjustRightInd w:val="0"/>
              <w:jc w:val="center"/>
              <w:rPr>
                <w:bCs/>
                <w:sz w:val="22"/>
                <w:szCs w:val="22"/>
              </w:rPr>
            </w:pPr>
            <w:r w:rsidRPr="00B35830">
              <w:rPr>
                <w:bCs/>
                <w:sz w:val="22"/>
                <w:szCs w:val="22"/>
              </w:rPr>
              <w:t>Исполнение</w:t>
            </w:r>
          </w:p>
        </w:tc>
        <w:tc>
          <w:tcPr>
            <w:tcW w:w="1135" w:type="dxa"/>
            <w:noWrap/>
          </w:tcPr>
          <w:p w:rsidR="00DC0BAB" w:rsidRPr="00B35830" w:rsidRDefault="00DC0BAB" w:rsidP="000B66CB">
            <w:pPr>
              <w:widowControl w:val="0"/>
              <w:autoSpaceDE w:val="0"/>
              <w:autoSpaceDN w:val="0"/>
              <w:adjustRightInd w:val="0"/>
              <w:jc w:val="center"/>
              <w:rPr>
                <w:bCs/>
                <w:sz w:val="22"/>
                <w:szCs w:val="22"/>
              </w:rPr>
            </w:pPr>
            <w:r w:rsidRPr="00B35830">
              <w:rPr>
                <w:bCs/>
                <w:sz w:val="22"/>
                <w:szCs w:val="22"/>
              </w:rPr>
              <w:t>Уровень исполне-ния</w:t>
            </w:r>
          </w:p>
        </w:tc>
        <w:tc>
          <w:tcPr>
            <w:tcW w:w="1213" w:type="dxa"/>
            <w:noWrap/>
          </w:tcPr>
          <w:p w:rsidR="00DC0BAB" w:rsidRPr="00B35830" w:rsidRDefault="00DC0BAB" w:rsidP="000B66CB">
            <w:pPr>
              <w:widowControl w:val="0"/>
              <w:autoSpaceDE w:val="0"/>
              <w:autoSpaceDN w:val="0"/>
              <w:adjustRightInd w:val="0"/>
              <w:jc w:val="center"/>
              <w:rPr>
                <w:bCs/>
                <w:sz w:val="22"/>
                <w:szCs w:val="22"/>
              </w:rPr>
            </w:pPr>
            <w:r w:rsidRPr="00B35830">
              <w:rPr>
                <w:bCs/>
                <w:sz w:val="22"/>
                <w:szCs w:val="22"/>
              </w:rPr>
              <w:t>Не исполнено</w:t>
            </w:r>
          </w:p>
        </w:tc>
      </w:tr>
      <w:tr w:rsidR="00DC0BAB" w:rsidRPr="00BA3E0D" w:rsidTr="000B66CB">
        <w:trPr>
          <w:trHeight w:val="880"/>
        </w:trPr>
        <w:tc>
          <w:tcPr>
            <w:tcW w:w="4644" w:type="dxa"/>
            <w:hideMark/>
          </w:tcPr>
          <w:p w:rsidR="00DC0BAB" w:rsidRPr="00B35830" w:rsidRDefault="00DC0BAB" w:rsidP="000B66CB">
            <w:pPr>
              <w:rPr>
                <w:b/>
                <w:sz w:val="22"/>
                <w:szCs w:val="22"/>
              </w:rPr>
            </w:pPr>
            <w:r w:rsidRPr="00B35830">
              <w:rPr>
                <w:b/>
                <w:sz w:val="22"/>
                <w:szCs w:val="22"/>
              </w:rPr>
              <w:lastRenderedPageBreak/>
              <w:t xml:space="preserve">Государственная программа «Повышение эффективности деятельности органов государственной власти и управления Амурской области на 2014 – 2020 годы» </w:t>
            </w:r>
          </w:p>
        </w:tc>
        <w:tc>
          <w:tcPr>
            <w:tcW w:w="1276" w:type="dxa"/>
            <w:noWrap/>
          </w:tcPr>
          <w:p w:rsidR="00DC0BAB" w:rsidRPr="00B35830" w:rsidRDefault="00DC0BAB" w:rsidP="000B66CB">
            <w:pPr>
              <w:jc w:val="right"/>
              <w:rPr>
                <w:b/>
                <w:sz w:val="22"/>
                <w:szCs w:val="22"/>
              </w:rPr>
            </w:pPr>
            <w:r w:rsidRPr="00B35830">
              <w:rPr>
                <w:b/>
                <w:sz w:val="22"/>
                <w:szCs w:val="22"/>
              </w:rPr>
              <w:t>5807735,5</w:t>
            </w:r>
          </w:p>
        </w:tc>
        <w:tc>
          <w:tcPr>
            <w:tcW w:w="1463" w:type="dxa"/>
            <w:noWrap/>
          </w:tcPr>
          <w:p w:rsidR="00DC0BAB" w:rsidRPr="00B35830" w:rsidRDefault="00DC0BAB" w:rsidP="000B66CB">
            <w:pPr>
              <w:jc w:val="right"/>
              <w:rPr>
                <w:b/>
                <w:sz w:val="22"/>
                <w:szCs w:val="22"/>
              </w:rPr>
            </w:pPr>
            <w:r w:rsidRPr="00B35830">
              <w:rPr>
                <w:b/>
                <w:sz w:val="22"/>
                <w:szCs w:val="22"/>
              </w:rPr>
              <w:t>574620</w:t>
            </w:r>
            <w:r>
              <w:rPr>
                <w:b/>
                <w:sz w:val="22"/>
                <w:szCs w:val="22"/>
              </w:rPr>
              <w:t>6</w:t>
            </w:r>
            <w:r w:rsidRPr="00B35830">
              <w:rPr>
                <w:b/>
                <w:sz w:val="22"/>
                <w:szCs w:val="22"/>
              </w:rPr>
              <w:t>,</w:t>
            </w:r>
            <w:r>
              <w:rPr>
                <w:b/>
                <w:sz w:val="22"/>
                <w:szCs w:val="22"/>
              </w:rPr>
              <w:t>0</w:t>
            </w:r>
          </w:p>
        </w:tc>
        <w:tc>
          <w:tcPr>
            <w:tcW w:w="1135" w:type="dxa"/>
            <w:noWrap/>
          </w:tcPr>
          <w:p w:rsidR="00DC0BAB" w:rsidRPr="00B35830" w:rsidRDefault="00DC0BAB" w:rsidP="000B66CB">
            <w:pPr>
              <w:jc w:val="right"/>
              <w:rPr>
                <w:b/>
                <w:sz w:val="22"/>
                <w:szCs w:val="22"/>
              </w:rPr>
            </w:pPr>
            <w:r w:rsidRPr="00B35830">
              <w:rPr>
                <w:b/>
                <w:sz w:val="22"/>
                <w:szCs w:val="22"/>
              </w:rPr>
              <w:t>98,9</w:t>
            </w:r>
          </w:p>
        </w:tc>
        <w:tc>
          <w:tcPr>
            <w:tcW w:w="1213" w:type="dxa"/>
            <w:noWrap/>
          </w:tcPr>
          <w:p w:rsidR="00DC0BAB" w:rsidRPr="00B35830" w:rsidRDefault="00DC0BAB" w:rsidP="000B66CB">
            <w:pPr>
              <w:jc w:val="right"/>
              <w:rPr>
                <w:b/>
                <w:sz w:val="22"/>
                <w:szCs w:val="22"/>
              </w:rPr>
            </w:pPr>
            <w:r>
              <w:rPr>
                <w:b/>
                <w:sz w:val="22"/>
                <w:szCs w:val="22"/>
              </w:rPr>
              <w:t>61529,5</w:t>
            </w:r>
          </w:p>
        </w:tc>
      </w:tr>
      <w:tr w:rsidR="00DC0BAB" w:rsidRPr="007B6E5F" w:rsidTr="000B66CB">
        <w:trPr>
          <w:trHeight w:val="697"/>
        </w:trPr>
        <w:tc>
          <w:tcPr>
            <w:tcW w:w="4644" w:type="dxa"/>
            <w:hideMark/>
          </w:tcPr>
          <w:p w:rsidR="00DC0BAB" w:rsidRPr="007B6E5F" w:rsidRDefault="00DC0BAB" w:rsidP="000B66CB">
            <w:pPr>
              <w:rPr>
                <w:sz w:val="22"/>
                <w:szCs w:val="22"/>
              </w:rPr>
            </w:pPr>
            <w:r w:rsidRPr="007B6E5F">
              <w:rPr>
                <w:sz w:val="22"/>
                <w:szCs w:val="22"/>
              </w:rPr>
              <w:t>Подпрограмма «Повышение эффективности управления государственными финансами и государственным долгом Амурской области»</w:t>
            </w:r>
          </w:p>
        </w:tc>
        <w:tc>
          <w:tcPr>
            <w:tcW w:w="1276" w:type="dxa"/>
            <w:noWrap/>
          </w:tcPr>
          <w:p w:rsidR="00DC0BAB" w:rsidRPr="007B6E5F" w:rsidRDefault="00DC0BAB" w:rsidP="000B66CB">
            <w:pPr>
              <w:jc w:val="right"/>
              <w:rPr>
                <w:sz w:val="22"/>
                <w:szCs w:val="22"/>
              </w:rPr>
            </w:pPr>
            <w:r>
              <w:rPr>
                <w:sz w:val="22"/>
                <w:szCs w:val="22"/>
              </w:rPr>
              <w:t>5205086,6</w:t>
            </w:r>
          </w:p>
        </w:tc>
        <w:tc>
          <w:tcPr>
            <w:tcW w:w="1463" w:type="dxa"/>
            <w:noWrap/>
          </w:tcPr>
          <w:p w:rsidR="00DC0BAB" w:rsidRPr="007B6E5F" w:rsidRDefault="00DC0BAB" w:rsidP="000B66CB">
            <w:pPr>
              <w:jc w:val="right"/>
              <w:rPr>
                <w:sz w:val="22"/>
                <w:szCs w:val="22"/>
              </w:rPr>
            </w:pPr>
            <w:r>
              <w:rPr>
                <w:sz w:val="22"/>
                <w:szCs w:val="22"/>
              </w:rPr>
              <w:t>5156653,7</w:t>
            </w:r>
          </w:p>
        </w:tc>
        <w:tc>
          <w:tcPr>
            <w:tcW w:w="1135" w:type="dxa"/>
            <w:noWrap/>
          </w:tcPr>
          <w:p w:rsidR="00DC0BAB" w:rsidRPr="007B6E5F" w:rsidRDefault="00DC0BAB" w:rsidP="000B66CB">
            <w:pPr>
              <w:jc w:val="right"/>
              <w:rPr>
                <w:sz w:val="22"/>
                <w:szCs w:val="22"/>
              </w:rPr>
            </w:pPr>
            <w:r>
              <w:rPr>
                <w:sz w:val="22"/>
                <w:szCs w:val="22"/>
              </w:rPr>
              <w:t>99,1</w:t>
            </w:r>
          </w:p>
        </w:tc>
        <w:tc>
          <w:tcPr>
            <w:tcW w:w="1213" w:type="dxa"/>
            <w:noWrap/>
          </w:tcPr>
          <w:p w:rsidR="00DC0BAB" w:rsidRPr="007B6E5F" w:rsidRDefault="00DC0BAB" w:rsidP="000B66CB">
            <w:pPr>
              <w:jc w:val="right"/>
              <w:rPr>
                <w:sz w:val="22"/>
                <w:szCs w:val="22"/>
              </w:rPr>
            </w:pPr>
            <w:r>
              <w:rPr>
                <w:sz w:val="22"/>
                <w:szCs w:val="22"/>
              </w:rPr>
              <w:t>48432,8</w:t>
            </w:r>
          </w:p>
        </w:tc>
      </w:tr>
      <w:tr w:rsidR="00DC0BAB" w:rsidRPr="007B6E5F" w:rsidTr="000B66CB">
        <w:trPr>
          <w:trHeight w:val="693"/>
        </w:trPr>
        <w:tc>
          <w:tcPr>
            <w:tcW w:w="4644" w:type="dxa"/>
            <w:hideMark/>
          </w:tcPr>
          <w:p w:rsidR="00DC0BAB" w:rsidRPr="007B6E5F" w:rsidRDefault="00DC0BAB" w:rsidP="000B66CB">
            <w:pPr>
              <w:rPr>
                <w:sz w:val="22"/>
                <w:szCs w:val="22"/>
              </w:rPr>
            </w:pPr>
            <w:r w:rsidRPr="007B6E5F">
              <w:rPr>
                <w:sz w:val="22"/>
                <w:szCs w:val="22"/>
              </w:rPr>
              <w:t>Подпрограмма «Повышение эффективности использования государственного имущества Амурской области»</w:t>
            </w:r>
          </w:p>
        </w:tc>
        <w:tc>
          <w:tcPr>
            <w:tcW w:w="1276" w:type="dxa"/>
            <w:noWrap/>
          </w:tcPr>
          <w:p w:rsidR="00DC0BAB" w:rsidRPr="007B6E5F" w:rsidRDefault="00DC0BAB" w:rsidP="000B66CB">
            <w:pPr>
              <w:jc w:val="right"/>
              <w:rPr>
                <w:sz w:val="22"/>
                <w:szCs w:val="22"/>
              </w:rPr>
            </w:pPr>
            <w:r w:rsidRPr="007B6E5F">
              <w:rPr>
                <w:sz w:val="22"/>
                <w:szCs w:val="22"/>
              </w:rPr>
              <w:t>58783,9</w:t>
            </w:r>
          </w:p>
        </w:tc>
        <w:tc>
          <w:tcPr>
            <w:tcW w:w="1463" w:type="dxa"/>
            <w:noWrap/>
          </w:tcPr>
          <w:p w:rsidR="00DC0BAB" w:rsidRPr="007B6E5F" w:rsidRDefault="00DC0BAB" w:rsidP="000B66CB">
            <w:pPr>
              <w:jc w:val="right"/>
              <w:rPr>
                <w:sz w:val="22"/>
                <w:szCs w:val="22"/>
              </w:rPr>
            </w:pPr>
            <w:r w:rsidRPr="007B6E5F">
              <w:rPr>
                <w:sz w:val="22"/>
                <w:szCs w:val="22"/>
              </w:rPr>
              <w:t>58255,2</w:t>
            </w:r>
          </w:p>
        </w:tc>
        <w:tc>
          <w:tcPr>
            <w:tcW w:w="1135" w:type="dxa"/>
            <w:noWrap/>
          </w:tcPr>
          <w:p w:rsidR="00DC0BAB" w:rsidRPr="007B6E5F" w:rsidRDefault="00DC0BAB" w:rsidP="000B66CB">
            <w:pPr>
              <w:jc w:val="right"/>
              <w:rPr>
                <w:sz w:val="22"/>
                <w:szCs w:val="22"/>
              </w:rPr>
            </w:pPr>
            <w:r w:rsidRPr="007B6E5F">
              <w:rPr>
                <w:sz w:val="22"/>
                <w:szCs w:val="22"/>
              </w:rPr>
              <w:t>99,1</w:t>
            </w:r>
          </w:p>
        </w:tc>
        <w:tc>
          <w:tcPr>
            <w:tcW w:w="1213" w:type="dxa"/>
            <w:noWrap/>
          </w:tcPr>
          <w:p w:rsidR="00DC0BAB" w:rsidRPr="007B6E5F" w:rsidRDefault="00DC0BAB" w:rsidP="000B66CB">
            <w:pPr>
              <w:jc w:val="right"/>
              <w:rPr>
                <w:sz w:val="22"/>
                <w:szCs w:val="22"/>
              </w:rPr>
            </w:pPr>
            <w:r w:rsidRPr="007B6E5F">
              <w:rPr>
                <w:sz w:val="22"/>
                <w:szCs w:val="22"/>
              </w:rPr>
              <w:t>528,7</w:t>
            </w:r>
          </w:p>
        </w:tc>
      </w:tr>
      <w:tr w:rsidR="00DC0BAB" w:rsidRPr="007B6E5F" w:rsidTr="000B66CB">
        <w:trPr>
          <w:trHeight w:val="702"/>
        </w:trPr>
        <w:tc>
          <w:tcPr>
            <w:tcW w:w="4644" w:type="dxa"/>
            <w:hideMark/>
          </w:tcPr>
          <w:p w:rsidR="00DC0BAB" w:rsidRPr="007B6E5F" w:rsidRDefault="00DC0BAB" w:rsidP="000B66CB">
            <w:pPr>
              <w:rPr>
                <w:sz w:val="22"/>
                <w:szCs w:val="22"/>
              </w:rPr>
            </w:pPr>
            <w:r w:rsidRPr="007B6E5F">
              <w:rPr>
                <w:sz w:val="22"/>
                <w:szCs w:val="22"/>
              </w:rPr>
              <w:t>Подпрограмма «Развитие информационного общества и формирование электронного правительства в Амурской области»</w:t>
            </w:r>
          </w:p>
        </w:tc>
        <w:tc>
          <w:tcPr>
            <w:tcW w:w="1276" w:type="dxa"/>
            <w:noWrap/>
          </w:tcPr>
          <w:p w:rsidR="00DC0BAB" w:rsidRPr="007B6E5F" w:rsidRDefault="00DC0BAB" w:rsidP="000B66CB">
            <w:pPr>
              <w:jc w:val="right"/>
              <w:rPr>
                <w:sz w:val="22"/>
                <w:szCs w:val="22"/>
              </w:rPr>
            </w:pPr>
            <w:r>
              <w:rPr>
                <w:sz w:val="22"/>
                <w:szCs w:val="22"/>
              </w:rPr>
              <w:t>109851,3</w:t>
            </w:r>
          </w:p>
        </w:tc>
        <w:tc>
          <w:tcPr>
            <w:tcW w:w="1463" w:type="dxa"/>
            <w:noWrap/>
          </w:tcPr>
          <w:p w:rsidR="00DC0BAB" w:rsidRPr="007B6E5F" w:rsidRDefault="00DC0BAB" w:rsidP="000B66CB">
            <w:pPr>
              <w:jc w:val="right"/>
              <w:rPr>
                <w:sz w:val="22"/>
                <w:szCs w:val="22"/>
              </w:rPr>
            </w:pPr>
            <w:r>
              <w:rPr>
                <w:sz w:val="22"/>
                <w:szCs w:val="22"/>
              </w:rPr>
              <w:t>109458,9</w:t>
            </w:r>
          </w:p>
        </w:tc>
        <w:tc>
          <w:tcPr>
            <w:tcW w:w="1135" w:type="dxa"/>
            <w:noWrap/>
          </w:tcPr>
          <w:p w:rsidR="00DC0BAB" w:rsidRPr="007B6E5F" w:rsidRDefault="00DC0BAB" w:rsidP="000B66CB">
            <w:pPr>
              <w:jc w:val="right"/>
              <w:rPr>
                <w:sz w:val="22"/>
                <w:szCs w:val="22"/>
              </w:rPr>
            </w:pPr>
            <w:r>
              <w:rPr>
                <w:sz w:val="22"/>
                <w:szCs w:val="22"/>
              </w:rPr>
              <w:t>99,6</w:t>
            </w:r>
          </w:p>
        </w:tc>
        <w:tc>
          <w:tcPr>
            <w:tcW w:w="1213" w:type="dxa"/>
            <w:noWrap/>
          </w:tcPr>
          <w:p w:rsidR="00DC0BAB" w:rsidRPr="007B6E5F" w:rsidRDefault="00DC0BAB" w:rsidP="000B66CB">
            <w:pPr>
              <w:jc w:val="right"/>
              <w:rPr>
                <w:sz w:val="22"/>
                <w:szCs w:val="22"/>
              </w:rPr>
            </w:pPr>
            <w:r>
              <w:rPr>
                <w:sz w:val="22"/>
                <w:szCs w:val="22"/>
              </w:rPr>
              <w:t>392,4</w:t>
            </w:r>
          </w:p>
        </w:tc>
      </w:tr>
      <w:tr w:rsidR="00DC0BAB" w:rsidRPr="007B6E5F" w:rsidTr="000B66CB">
        <w:trPr>
          <w:trHeight w:val="214"/>
        </w:trPr>
        <w:tc>
          <w:tcPr>
            <w:tcW w:w="4644" w:type="dxa"/>
            <w:hideMark/>
          </w:tcPr>
          <w:p w:rsidR="00DC0BAB" w:rsidRPr="007B6E5F" w:rsidRDefault="00DC0BAB" w:rsidP="000B66CB">
            <w:pPr>
              <w:rPr>
                <w:sz w:val="22"/>
                <w:szCs w:val="22"/>
              </w:rPr>
            </w:pPr>
            <w:r w:rsidRPr="007B6E5F">
              <w:rPr>
                <w:sz w:val="22"/>
                <w:szCs w:val="22"/>
              </w:rPr>
              <w:t>Подпрограмма «Реализация единой внутренней политики на территории области и поддержка социально ориентированных некоммерческих организаций»</w:t>
            </w:r>
          </w:p>
        </w:tc>
        <w:tc>
          <w:tcPr>
            <w:tcW w:w="1276" w:type="dxa"/>
            <w:noWrap/>
          </w:tcPr>
          <w:p w:rsidR="00DC0BAB" w:rsidRPr="007B6E5F" w:rsidRDefault="00DC0BAB" w:rsidP="000B66CB">
            <w:pPr>
              <w:jc w:val="right"/>
              <w:rPr>
                <w:sz w:val="22"/>
                <w:szCs w:val="22"/>
              </w:rPr>
            </w:pPr>
            <w:r>
              <w:rPr>
                <w:sz w:val="22"/>
                <w:szCs w:val="22"/>
              </w:rPr>
              <w:t>69530,8</w:t>
            </w:r>
          </w:p>
        </w:tc>
        <w:tc>
          <w:tcPr>
            <w:tcW w:w="1463" w:type="dxa"/>
            <w:noWrap/>
          </w:tcPr>
          <w:p w:rsidR="00DC0BAB" w:rsidRPr="007B6E5F" w:rsidRDefault="00DC0BAB" w:rsidP="000B66CB">
            <w:pPr>
              <w:jc w:val="right"/>
              <w:rPr>
                <w:sz w:val="22"/>
                <w:szCs w:val="22"/>
              </w:rPr>
            </w:pPr>
            <w:r w:rsidRPr="007B6E5F">
              <w:rPr>
                <w:sz w:val="22"/>
                <w:szCs w:val="22"/>
              </w:rPr>
              <w:t>67613,0</w:t>
            </w:r>
          </w:p>
        </w:tc>
        <w:tc>
          <w:tcPr>
            <w:tcW w:w="1135" w:type="dxa"/>
            <w:noWrap/>
          </w:tcPr>
          <w:p w:rsidR="00DC0BAB" w:rsidRPr="007B6E5F" w:rsidRDefault="00DC0BAB" w:rsidP="000B66CB">
            <w:pPr>
              <w:jc w:val="right"/>
              <w:rPr>
                <w:sz w:val="22"/>
                <w:szCs w:val="22"/>
              </w:rPr>
            </w:pPr>
            <w:r w:rsidRPr="007B6E5F">
              <w:rPr>
                <w:sz w:val="22"/>
                <w:szCs w:val="22"/>
              </w:rPr>
              <w:t>97,2</w:t>
            </w:r>
          </w:p>
        </w:tc>
        <w:tc>
          <w:tcPr>
            <w:tcW w:w="1213" w:type="dxa"/>
            <w:noWrap/>
          </w:tcPr>
          <w:p w:rsidR="00DC0BAB" w:rsidRPr="007B6E5F" w:rsidRDefault="00DC0BAB" w:rsidP="000B66CB">
            <w:pPr>
              <w:jc w:val="right"/>
              <w:rPr>
                <w:sz w:val="22"/>
                <w:szCs w:val="22"/>
              </w:rPr>
            </w:pPr>
            <w:r w:rsidRPr="007B6E5F">
              <w:rPr>
                <w:sz w:val="22"/>
                <w:szCs w:val="22"/>
              </w:rPr>
              <w:t>1917,9</w:t>
            </w:r>
          </w:p>
        </w:tc>
      </w:tr>
      <w:tr w:rsidR="00DC0BAB" w:rsidRPr="007B6E5F" w:rsidTr="000B66CB">
        <w:trPr>
          <w:trHeight w:val="214"/>
        </w:trPr>
        <w:tc>
          <w:tcPr>
            <w:tcW w:w="4644" w:type="dxa"/>
          </w:tcPr>
          <w:p w:rsidR="00DC0BAB" w:rsidRPr="00151480" w:rsidRDefault="00DC0BAB" w:rsidP="000B66CB">
            <w:pPr>
              <w:rPr>
                <w:sz w:val="24"/>
                <w:szCs w:val="24"/>
              </w:rPr>
            </w:pPr>
            <w:r w:rsidRPr="00151480">
              <w:rPr>
                <w:sz w:val="24"/>
                <w:szCs w:val="24"/>
              </w:rPr>
              <w:t xml:space="preserve">Подпрограмма </w:t>
            </w:r>
            <w:r>
              <w:rPr>
                <w:sz w:val="24"/>
                <w:szCs w:val="24"/>
              </w:rPr>
              <w:t>«</w:t>
            </w:r>
            <w:r w:rsidRPr="00151480">
              <w:rPr>
                <w:sz w:val="24"/>
                <w:szCs w:val="24"/>
              </w:rPr>
              <w:t>У</w:t>
            </w:r>
            <w:r>
              <w:rPr>
                <w:sz w:val="24"/>
                <w:szCs w:val="24"/>
              </w:rPr>
              <w:t>лучшение условий и охраны труда»</w:t>
            </w:r>
          </w:p>
        </w:tc>
        <w:tc>
          <w:tcPr>
            <w:tcW w:w="1276" w:type="dxa"/>
            <w:noWrap/>
          </w:tcPr>
          <w:p w:rsidR="00DC0BAB" w:rsidRPr="00E77E9C" w:rsidRDefault="00DC0BAB" w:rsidP="000B66CB">
            <w:pPr>
              <w:jc w:val="right"/>
              <w:rPr>
                <w:sz w:val="22"/>
                <w:szCs w:val="22"/>
              </w:rPr>
            </w:pPr>
            <w:r w:rsidRPr="00E77E9C">
              <w:rPr>
                <w:sz w:val="22"/>
                <w:szCs w:val="22"/>
              </w:rPr>
              <w:t>100,0</w:t>
            </w:r>
          </w:p>
        </w:tc>
        <w:tc>
          <w:tcPr>
            <w:tcW w:w="1463" w:type="dxa"/>
            <w:noWrap/>
          </w:tcPr>
          <w:p w:rsidR="00DC0BAB" w:rsidRPr="00E77E9C" w:rsidRDefault="00DC0BAB" w:rsidP="000B66CB">
            <w:pPr>
              <w:jc w:val="right"/>
              <w:rPr>
                <w:sz w:val="22"/>
                <w:szCs w:val="22"/>
              </w:rPr>
            </w:pPr>
            <w:r>
              <w:rPr>
                <w:sz w:val="22"/>
                <w:szCs w:val="22"/>
              </w:rPr>
              <w:t>100,0</w:t>
            </w:r>
          </w:p>
        </w:tc>
        <w:tc>
          <w:tcPr>
            <w:tcW w:w="1135" w:type="dxa"/>
            <w:noWrap/>
          </w:tcPr>
          <w:p w:rsidR="00DC0BAB" w:rsidRPr="00E77E9C" w:rsidRDefault="00DC0BAB" w:rsidP="000B66CB">
            <w:pPr>
              <w:jc w:val="right"/>
              <w:rPr>
                <w:sz w:val="22"/>
                <w:szCs w:val="22"/>
              </w:rPr>
            </w:pPr>
            <w:r w:rsidRPr="00E77E9C">
              <w:rPr>
                <w:sz w:val="22"/>
                <w:szCs w:val="22"/>
              </w:rPr>
              <w:t>100,0</w:t>
            </w:r>
          </w:p>
        </w:tc>
        <w:tc>
          <w:tcPr>
            <w:tcW w:w="1213" w:type="dxa"/>
            <w:noWrap/>
          </w:tcPr>
          <w:p w:rsidR="00DC0BAB" w:rsidRPr="00E77E9C" w:rsidRDefault="00DC0BAB" w:rsidP="000B66CB">
            <w:pPr>
              <w:jc w:val="right"/>
              <w:rPr>
                <w:sz w:val="22"/>
                <w:szCs w:val="22"/>
              </w:rPr>
            </w:pPr>
            <w:r w:rsidRPr="00E77E9C">
              <w:rPr>
                <w:sz w:val="22"/>
                <w:szCs w:val="22"/>
              </w:rPr>
              <w:t>0,</w:t>
            </w:r>
            <w:r>
              <w:rPr>
                <w:sz w:val="22"/>
                <w:szCs w:val="22"/>
              </w:rPr>
              <w:t>0</w:t>
            </w:r>
          </w:p>
        </w:tc>
      </w:tr>
      <w:tr w:rsidR="00DC0BAB" w:rsidRPr="00E77E9C" w:rsidTr="000B66CB">
        <w:trPr>
          <w:trHeight w:val="359"/>
        </w:trPr>
        <w:tc>
          <w:tcPr>
            <w:tcW w:w="4644" w:type="dxa"/>
            <w:hideMark/>
          </w:tcPr>
          <w:p w:rsidR="00DC0BAB" w:rsidRPr="00E77E9C" w:rsidRDefault="00DC0BAB" w:rsidP="000B66CB">
            <w:pPr>
              <w:rPr>
                <w:sz w:val="22"/>
                <w:szCs w:val="22"/>
              </w:rPr>
            </w:pPr>
            <w:r w:rsidRPr="00E77E9C">
              <w:rPr>
                <w:sz w:val="22"/>
                <w:szCs w:val="22"/>
              </w:rPr>
              <w:t>Подпрограмма «Обеспечение реализации основных направлений государственной политики в отдельных сферах государственного управления на территории области»</w:t>
            </w:r>
          </w:p>
        </w:tc>
        <w:tc>
          <w:tcPr>
            <w:tcW w:w="1276" w:type="dxa"/>
            <w:noWrap/>
          </w:tcPr>
          <w:p w:rsidR="00DC0BAB" w:rsidRPr="00E77E9C" w:rsidRDefault="00DC0BAB" w:rsidP="000B66CB">
            <w:pPr>
              <w:jc w:val="right"/>
              <w:rPr>
                <w:sz w:val="22"/>
                <w:szCs w:val="22"/>
              </w:rPr>
            </w:pPr>
            <w:r>
              <w:rPr>
                <w:sz w:val="22"/>
                <w:szCs w:val="22"/>
              </w:rPr>
              <w:t>364382,9</w:t>
            </w:r>
          </w:p>
        </w:tc>
        <w:tc>
          <w:tcPr>
            <w:tcW w:w="1463" w:type="dxa"/>
            <w:noWrap/>
          </w:tcPr>
          <w:p w:rsidR="00DC0BAB" w:rsidRPr="00E77E9C" w:rsidRDefault="00DC0BAB" w:rsidP="000B66CB">
            <w:pPr>
              <w:jc w:val="right"/>
              <w:rPr>
                <w:sz w:val="22"/>
                <w:szCs w:val="22"/>
              </w:rPr>
            </w:pPr>
            <w:r>
              <w:rPr>
                <w:sz w:val="22"/>
                <w:szCs w:val="22"/>
              </w:rPr>
              <w:t>354125,2</w:t>
            </w:r>
          </w:p>
        </w:tc>
        <w:tc>
          <w:tcPr>
            <w:tcW w:w="1135" w:type="dxa"/>
            <w:noWrap/>
          </w:tcPr>
          <w:p w:rsidR="00DC0BAB" w:rsidRPr="00E77E9C" w:rsidRDefault="00DC0BAB" w:rsidP="000B66CB">
            <w:pPr>
              <w:jc w:val="right"/>
              <w:rPr>
                <w:sz w:val="22"/>
                <w:szCs w:val="22"/>
              </w:rPr>
            </w:pPr>
            <w:r>
              <w:rPr>
                <w:sz w:val="22"/>
                <w:szCs w:val="22"/>
              </w:rPr>
              <w:t>97,2</w:t>
            </w:r>
          </w:p>
        </w:tc>
        <w:tc>
          <w:tcPr>
            <w:tcW w:w="1213" w:type="dxa"/>
            <w:noWrap/>
          </w:tcPr>
          <w:p w:rsidR="00DC0BAB" w:rsidRPr="00E77E9C" w:rsidRDefault="00DC0BAB" w:rsidP="000B66CB">
            <w:pPr>
              <w:jc w:val="right"/>
              <w:rPr>
                <w:sz w:val="22"/>
                <w:szCs w:val="22"/>
              </w:rPr>
            </w:pPr>
            <w:r>
              <w:rPr>
                <w:sz w:val="22"/>
                <w:szCs w:val="22"/>
              </w:rPr>
              <w:t>10257,7</w:t>
            </w:r>
          </w:p>
        </w:tc>
      </w:tr>
    </w:tbl>
    <w:p w:rsidR="00DC0BAB" w:rsidRPr="00DC0BAB" w:rsidRDefault="00DC0BAB" w:rsidP="00DC0BAB">
      <w:pPr>
        <w:pStyle w:val="afa"/>
        <w:numPr>
          <w:ilvl w:val="0"/>
          <w:numId w:val="6"/>
        </w:numPr>
        <w:ind w:left="0" w:firstLine="709"/>
        <w:jc w:val="both"/>
        <w:rPr>
          <w:i/>
          <w:sz w:val="24"/>
          <w:szCs w:val="24"/>
        </w:rPr>
      </w:pPr>
      <w:r w:rsidRPr="00DC0BAB">
        <w:rPr>
          <w:i/>
          <w:sz w:val="24"/>
          <w:szCs w:val="24"/>
        </w:rPr>
        <w:t>Подпрограмма «Повышение эффективности управления государственными финансами и государственным долгом Амурской области»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Бюджетные ассигнования по подпрограмме «Повышение эффективности управления государственными финансами и государственным долгом Амурской области» утверждены в расходах областного бюджета в сумме 5205086,6 тыс. рублей. В общем объеме расходов государственной программы доля расходов по данной подпрограмме составляет </w:t>
      </w:r>
      <w:r w:rsidRPr="00DC0BAB">
        <w:rPr>
          <w:rFonts w:ascii="Times New Roman" w:hAnsi="Times New Roman" w:cs="Times New Roman"/>
          <w:sz w:val="24"/>
          <w:szCs w:val="24"/>
        </w:rPr>
        <w:br/>
        <w:t>89,6 процента.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99,1 процента (объем неисполненных ассигнований составил 48432,9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По данной подпрограмме низкий уровень исполнения наблюдается по следующим программным мероприятиям:</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исполнение судебных актов по взысканию денежных средств за счет казны Амурской области – при плановых назначениях в сумме 36329,3 тыс. рублей исполнение составило 560,6 тыс. рублей, или 1,5 процента;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средства резервного фонда Правительства области, выделенные министерству транспорта и строительства области для финансового обеспечения мероприятий плана подготовки проведения III Всероссийской конференции «Демографическое развитие Дальнего Востока» в сумме 236,7 тыс. рублей освоены на 55,3 процента (остаток составляет 105,7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Кроме того, неиспользованными остались средства резервного фонда Правительства Амурской области, предусмотренные в составе расходов министерства финансов области, в сумме 6612,7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Одновременно с отчетом об исполнении областного бюджета за 2017 год представлен отчет об использовании бюджетных ассигнований резервного фонда Правительства Амурской области за 2017 год (далее – Отчет).</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lastRenderedPageBreak/>
        <w:t>Согласно Отчету из резервного фонда Правительства области в соответствии с распоряжениями Правительства области выделено 47380,3 тыс. рублей. Фактическое исполнение составило 46232,3 тыс. рублей, или 97,6 процента.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Объем средств, выделенных из резервного фонда на ликвидацию последствий чрезвычайных ситуаций и проведение аварийно-восстановительных работ, составил </w:t>
      </w:r>
      <w:r w:rsidRPr="00DC0BAB">
        <w:rPr>
          <w:rFonts w:ascii="Times New Roman" w:hAnsi="Times New Roman" w:cs="Times New Roman"/>
          <w:sz w:val="24"/>
          <w:szCs w:val="24"/>
        </w:rPr>
        <w:br/>
        <w:t>2115,1 тыс. рублей, что составляет 4,5 процента общего объема средств, выделенных из резервного фонда.</w:t>
      </w:r>
      <w:r w:rsidR="00C5456B">
        <w:rPr>
          <w:rFonts w:ascii="Times New Roman" w:hAnsi="Times New Roman" w:cs="Times New Roman"/>
          <w:sz w:val="24"/>
          <w:szCs w:val="24"/>
        </w:rPr>
        <w:t xml:space="preserve"> </w:t>
      </w:r>
      <w:r w:rsidRPr="00DC0BAB">
        <w:rPr>
          <w:rFonts w:ascii="Times New Roman" w:hAnsi="Times New Roman" w:cs="Times New Roman"/>
          <w:sz w:val="24"/>
          <w:szCs w:val="24"/>
        </w:rPr>
        <w:t>Кроме того, из резервного фонда выделены средства: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 в сумме 939,6 тыс. рублей на финансовое обеспечение мероприятий плана подготовки проведения III Всероссийской конференции «Демографическое развитие Дальнего Востока». Исполнение составило 791,5 тыс. рублей;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в сумме 1000,0 тыс. рублей на выполнение работ по устройству односкатной кровли здания Белогорского районного судебного участка. Исполнение отсутствует;</w:t>
      </w:r>
    </w:p>
    <w:p w:rsidR="00DC0BAB" w:rsidRPr="00731260" w:rsidRDefault="00DC0BAB" w:rsidP="00DC0BAB">
      <w:pPr>
        <w:spacing w:after="0" w:line="240" w:lineRule="auto"/>
        <w:ind w:firstLine="709"/>
        <w:jc w:val="both"/>
        <w:rPr>
          <w:rFonts w:ascii="Times New Roman" w:hAnsi="Times New Roman" w:cs="Times New Roman"/>
          <w:sz w:val="24"/>
          <w:szCs w:val="24"/>
        </w:rPr>
      </w:pPr>
      <w:r w:rsidRPr="00731260">
        <w:rPr>
          <w:rFonts w:ascii="Times New Roman" w:hAnsi="Times New Roman" w:cs="Times New Roman"/>
          <w:sz w:val="24"/>
          <w:szCs w:val="24"/>
        </w:rPr>
        <w:t>- в сумме 18188,7 тыс. рублей на предоставление субсидии бюджету муниципального образования Возжаевский сельсовет на финансирование мероприятий по ремонту ветхих участков сетей тепло-водоснабжения. Исполнение составило 100,0 процентов;</w:t>
      </w:r>
      <w:r w:rsidR="00BE701A" w:rsidRPr="00731260">
        <w:rPr>
          <w:rFonts w:ascii="Times New Roman" w:hAnsi="Times New Roman" w:cs="Times New Roman"/>
          <w:sz w:val="24"/>
          <w:szCs w:val="24"/>
        </w:rPr>
        <w:t xml:space="preserve">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731260">
        <w:rPr>
          <w:rFonts w:ascii="Times New Roman" w:hAnsi="Times New Roman" w:cs="Times New Roman"/>
          <w:sz w:val="24"/>
          <w:szCs w:val="24"/>
        </w:rPr>
        <w:t>- в сумме 25136,7 тыс. рублей на предоставление субсидии бюджету муниципального образования город Сковородино Сковородинского района, бюджету рабочего поселка (пгт) Бурея и рабочего поселка (пгт) Талакан Бурейского района в целях финансирования работ, направленных на устранение допущенных при строительстве многоквартирн</w:t>
      </w:r>
      <w:r w:rsidR="00731260" w:rsidRPr="00731260">
        <w:rPr>
          <w:rFonts w:ascii="Times New Roman" w:hAnsi="Times New Roman" w:cs="Times New Roman"/>
          <w:sz w:val="24"/>
          <w:szCs w:val="24"/>
        </w:rPr>
        <w:t>ых</w:t>
      </w:r>
      <w:r w:rsidRPr="00731260">
        <w:rPr>
          <w:rFonts w:ascii="Times New Roman" w:hAnsi="Times New Roman" w:cs="Times New Roman"/>
          <w:sz w:val="24"/>
          <w:szCs w:val="24"/>
        </w:rPr>
        <w:t xml:space="preserve"> дом</w:t>
      </w:r>
      <w:r w:rsidR="00731260" w:rsidRPr="00731260">
        <w:rPr>
          <w:rFonts w:ascii="Times New Roman" w:hAnsi="Times New Roman" w:cs="Times New Roman"/>
          <w:sz w:val="24"/>
          <w:szCs w:val="24"/>
        </w:rPr>
        <w:t>ов</w:t>
      </w:r>
      <w:r w:rsidRPr="00731260">
        <w:rPr>
          <w:rFonts w:ascii="Times New Roman" w:hAnsi="Times New Roman" w:cs="Times New Roman"/>
          <w:sz w:val="24"/>
          <w:szCs w:val="24"/>
        </w:rPr>
        <w:t xml:space="preserve"> </w:t>
      </w:r>
      <w:r w:rsidRPr="00DC0BAB">
        <w:rPr>
          <w:rFonts w:ascii="Times New Roman" w:hAnsi="Times New Roman" w:cs="Times New Roman"/>
          <w:sz w:val="24"/>
          <w:szCs w:val="24"/>
        </w:rPr>
        <w:t>недостатков по региональной адресной программе «Переселение граждан из аварийного жилищного фонда, в том числе с учетом необходимости развития малоэтажного жилищного строительства, на территории Амурской области в 2013-2018 годах».</w:t>
      </w:r>
    </w:p>
    <w:p w:rsidR="00731260" w:rsidRPr="00072AF3" w:rsidRDefault="00731260" w:rsidP="00731260">
      <w:pPr>
        <w:spacing w:after="0" w:line="240" w:lineRule="auto"/>
        <w:ind w:firstLine="709"/>
        <w:jc w:val="both"/>
        <w:rPr>
          <w:rFonts w:ascii="Times New Roman" w:hAnsi="Times New Roman" w:cs="Times New Roman"/>
          <w:sz w:val="24"/>
          <w:szCs w:val="24"/>
        </w:rPr>
      </w:pPr>
      <w:r w:rsidRPr="00935376">
        <w:rPr>
          <w:rFonts w:ascii="Times New Roman" w:hAnsi="Times New Roman" w:cs="Times New Roman"/>
          <w:sz w:val="24"/>
          <w:szCs w:val="24"/>
        </w:rPr>
        <w:t>Согласно информации, представленной министерством жилищно-коммунального хозяйства Амурской области на запрос контрольно-счетной палаты области,</w:t>
      </w:r>
      <w:r>
        <w:rPr>
          <w:rFonts w:ascii="Times New Roman" w:hAnsi="Times New Roman" w:cs="Times New Roman"/>
          <w:sz w:val="24"/>
          <w:szCs w:val="24"/>
        </w:rPr>
        <w:t xml:space="preserve"> средства выделены для предотвращения ущерба здоровью жителей построенных с недостатками домов. Строительство домов для переселения</w:t>
      </w:r>
      <w:r w:rsidRPr="00E4664A">
        <w:rPr>
          <w:rFonts w:ascii="Times New Roman" w:hAnsi="Times New Roman" w:cs="Times New Roman"/>
          <w:sz w:val="24"/>
          <w:szCs w:val="24"/>
        </w:rPr>
        <w:t xml:space="preserve"> граждан из аварийного жилищного фонда</w:t>
      </w:r>
      <w:r>
        <w:rPr>
          <w:rFonts w:ascii="Times New Roman" w:hAnsi="Times New Roman" w:cs="Times New Roman"/>
          <w:sz w:val="24"/>
          <w:szCs w:val="24"/>
        </w:rPr>
        <w:t xml:space="preserve"> в </w:t>
      </w:r>
      <w:r>
        <w:rPr>
          <w:rFonts w:ascii="Times New Roman" w:hAnsi="Times New Roman" w:cs="Times New Roman"/>
          <w:sz w:val="24"/>
          <w:szCs w:val="24"/>
        </w:rPr>
        <w:br/>
      </w:r>
      <w:r w:rsidRPr="00935376">
        <w:rPr>
          <w:rFonts w:ascii="Times New Roman" w:hAnsi="Times New Roman" w:cs="Times New Roman"/>
          <w:sz w:val="24"/>
          <w:szCs w:val="24"/>
        </w:rPr>
        <w:t>г</w:t>
      </w:r>
      <w:r>
        <w:rPr>
          <w:rFonts w:ascii="Times New Roman" w:hAnsi="Times New Roman" w:cs="Times New Roman"/>
          <w:sz w:val="24"/>
          <w:szCs w:val="24"/>
        </w:rPr>
        <w:t xml:space="preserve">. </w:t>
      </w:r>
      <w:r w:rsidRPr="00935376">
        <w:rPr>
          <w:rFonts w:ascii="Times New Roman" w:hAnsi="Times New Roman" w:cs="Times New Roman"/>
          <w:sz w:val="24"/>
          <w:szCs w:val="24"/>
        </w:rPr>
        <w:t>Сковородино</w:t>
      </w:r>
      <w:r>
        <w:rPr>
          <w:rFonts w:ascii="Times New Roman" w:hAnsi="Times New Roman" w:cs="Times New Roman"/>
          <w:sz w:val="24"/>
          <w:szCs w:val="24"/>
        </w:rPr>
        <w:t>,</w:t>
      </w:r>
      <w:r w:rsidRPr="00935376">
        <w:rPr>
          <w:rFonts w:ascii="Times New Roman" w:hAnsi="Times New Roman" w:cs="Times New Roman"/>
          <w:sz w:val="24"/>
          <w:szCs w:val="24"/>
        </w:rPr>
        <w:t xml:space="preserve"> пгт Б</w:t>
      </w:r>
      <w:r>
        <w:rPr>
          <w:rFonts w:ascii="Times New Roman" w:hAnsi="Times New Roman" w:cs="Times New Roman"/>
          <w:sz w:val="24"/>
          <w:szCs w:val="24"/>
        </w:rPr>
        <w:t>урея и</w:t>
      </w:r>
      <w:r w:rsidRPr="00935376">
        <w:rPr>
          <w:rFonts w:ascii="Times New Roman" w:hAnsi="Times New Roman" w:cs="Times New Roman"/>
          <w:sz w:val="24"/>
          <w:szCs w:val="24"/>
        </w:rPr>
        <w:t xml:space="preserve"> пгт Талакан</w:t>
      </w:r>
      <w:r>
        <w:rPr>
          <w:rFonts w:ascii="Times New Roman" w:hAnsi="Times New Roman" w:cs="Times New Roman"/>
          <w:sz w:val="24"/>
          <w:szCs w:val="24"/>
        </w:rPr>
        <w:t xml:space="preserve"> осуществляло ООО «Амурская Строительная Компания», которая Решением Арбитражного суда Амурской области от 16.04.2018 признано несостоятельным (банкротом), в связи с чем службой судебных приставов прекращены исполнительные производства, возбужденные на основании исполнительных листов, выданных Арбитражным судом Амурской области в удовлетворение исковых требований администраций вышеперечисленных муниципальных образований об устранении выявленных в ходе эксплуатации строительных недостатков.</w:t>
      </w:r>
    </w:p>
    <w:p w:rsidR="00DC0BAB" w:rsidRPr="00DC0BAB" w:rsidRDefault="00DC0BAB" w:rsidP="00DC0BAB">
      <w:pPr>
        <w:pStyle w:val="afa"/>
        <w:numPr>
          <w:ilvl w:val="0"/>
          <w:numId w:val="6"/>
        </w:numPr>
        <w:ind w:left="0" w:firstLine="709"/>
        <w:jc w:val="both"/>
        <w:rPr>
          <w:i/>
          <w:sz w:val="24"/>
          <w:szCs w:val="24"/>
        </w:rPr>
      </w:pPr>
      <w:r w:rsidRPr="00DC0BAB">
        <w:rPr>
          <w:i/>
          <w:sz w:val="24"/>
          <w:szCs w:val="24"/>
        </w:rPr>
        <w:t>Подпрограмма «Повышение эффективности использования государственного имущества Амурской области»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Бюджетные ассигнования по подпрограмме «Повышение эффективности использования государственного имущества Амурской области» утверждены в расходах областного бюджета в сумме 58783,9 тыс. рублей.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99,1 процента (объем неисполненных ассигнований составил </w:t>
      </w:r>
      <w:r w:rsidRPr="00DC0BAB">
        <w:rPr>
          <w:rFonts w:ascii="Times New Roman" w:hAnsi="Times New Roman" w:cs="Times New Roman"/>
          <w:sz w:val="24"/>
          <w:szCs w:val="24"/>
        </w:rPr>
        <w:br/>
        <w:t>528,7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Мероприятия подпрограммы включают расходы на обеспечение деятельности министерства имущественных отношений Амурской области в сумме 49391,6 тыс. рублей, которые исполнены на 99,1 процента, расходы на предоставление субсидий государственному бюджетному учреждению Амурской области «Фонд имущества Амурской области» в сумме 4516,9 тыс. рублей, которые исполнены на 99,7 процента и расходы на оценку областного имущества, в том числе земельных участков, акций открытых акционерных обществ и оформление правоустанавливающих документов на объекты собственности Амурской области в сумме 235,3 тыс. рублей, которые исполнены на </w:t>
      </w:r>
      <w:r w:rsidRPr="00DC0BAB">
        <w:rPr>
          <w:rFonts w:ascii="Times New Roman" w:hAnsi="Times New Roman" w:cs="Times New Roman"/>
          <w:sz w:val="24"/>
          <w:szCs w:val="24"/>
        </w:rPr>
        <w:br/>
        <w:t>78,7 процента.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Также подпрограммой предусмотрено мероприятие по организации и проведению мероприятий по реализации государственной программы в сумме 4640,2 тыс. рублей, которое включает в себя:</w:t>
      </w:r>
    </w:p>
    <w:p w:rsidR="00DC0BAB" w:rsidRPr="00DC0BAB" w:rsidRDefault="00C5456B" w:rsidP="00DC0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DC0BAB" w:rsidRPr="00DC0BAB">
        <w:rPr>
          <w:rFonts w:ascii="Times New Roman" w:hAnsi="Times New Roman" w:cs="Times New Roman"/>
          <w:sz w:val="24"/>
          <w:szCs w:val="24"/>
        </w:rPr>
        <w:t>проведение землеустроительных работ в отношении границ муниципальных образований Амурской области;</w:t>
      </w:r>
    </w:p>
    <w:p w:rsidR="00DC0BAB" w:rsidRPr="00DC0BAB" w:rsidRDefault="00C5456B" w:rsidP="00DC0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C0BAB" w:rsidRPr="00DC0BAB">
        <w:rPr>
          <w:rFonts w:ascii="Times New Roman" w:hAnsi="Times New Roman" w:cs="Times New Roman"/>
          <w:sz w:val="24"/>
          <w:szCs w:val="24"/>
        </w:rPr>
        <w:t>внесение сведений по итогам проведения землеустроительных работ в государственный кадастр недвижимости;</w:t>
      </w:r>
    </w:p>
    <w:p w:rsidR="00DC0BAB" w:rsidRPr="00DC0BAB" w:rsidRDefault="00C5456B" w:rsidP="00DC0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C0BAB" w:rsidRPr="00DC0BAB">
        <w:rPr>
          <w:rFonts w:ascii="Times New Roman" w:hAnsi="Times New Roman" w:cs="Times New Roman"/>
          <w:sz w:val="24"/>
          <w:szCs w:val="24"/>
        </w:rPr>
        <w:t>проведение кадастровых работ в отношении земельных участков, находящихся в собственности области или подлежащих к ее отнесению;</w:t>
      </w:r>
    </w:p>
    <w:p w:rsidR="00DC0BAB" w:rsidRPr="00DC0BAB" w:rsidRDefault="00C5456B" w:rsidP="00DC0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C0BAB" w:rsidRPr="00DC0BAB">
        <w:rPr>
          <w:rFonts w:ascii="Times New Roman" w:hAnsi="Times New Roman" w:cs="Times New Roman"/>
          <w:sz w:val="24"/>
          <w:szCs w:val="24"/>
        </w:rPr>
        <w:t xml:space="preserve">проведение государственной кадастровой оценки земельных участков в составе земель промышленности и иного специального назначения, земель сельскохозяйственного назначения, в том числе земель садоводческих, огороднических и дачных объединений, земель населенных пунктов на территории Амурской области.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На проведение вышеуказанных работ в 2017 году утвержденные ассигнования выделены в полном объеме.</w:t>
      </w:r>
    </w:p>
    <w:p w:rsidR="00DC0BAB" w:rsidRPr="00DC0BAB" w:rsidRDefault="00DC0BAB" w:rsidP="00DC0BAB">
      <w:pPr>
        <w:pStyle w:val="afa"/>
        <w:numPr>
          <w:ilvl w:val="0"/>
          <w:numId w:val="6"/>
        </w:numPr>
        <w:ind w:left="0" w:firstLine="709"/>
        <w:jc w:val="both"/>
        <w:rPr>
          <w:i/>
          <w:sz w:val="24"/>
          <w:szCs w:val="24"/>
        </w:rPr>
      </w:pPr>
      <w:r w:rsidRPr="00DC0BAB">
        <w:rPr>
          <w:i/>
          <w:sz w:val="24"/>
          <w:szCs w:val="24"/>
        </w:rPr>
        <w:t>Подпрограмма «Развитие информационного общества и формирование электронного правительства в Амурской области»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Бюджетные ассигнования по подпрограмме «Развитие информационного общества и формирование электронного правительства в Амурской области» утверждены в расходах областного бюджета в сумме 109851,3 тыс. рублей.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Координатором подпрограммы определено управление информатизации Амурской области.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99,6 процента (объем неисполненных ассигнований составил </w:t>
      </w:r>
      <w:r w:rsidRPr="00DC0BAB">
        <w:rPr>
          <w:rFonts w:ascii="Times New Roman" w:hAnsi="Times New Roman" w:cs="Times New Roman"/>
          <w:sz w:val="24"/>
          <w:szCs w:val="24"/>
        </w:rPr>
        <w:br/>
        <w:t>392,4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В рамках данной подпрограммы:</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 на обеспечение деятельности управления информатизации Амурской области в </w:t>
      </w:r>
      <w:r w:rsidR="00195D98">
        <w:rPr>
          <w:rFonts w:ascii="Times New Roman" w:hAnsi="Times New Roman" w:cs="Times New Roman"/>
          <w:sz w:val="24"/>
          <w:szCs w:val="24"/>
        </w:rPr>
        <w:br/>
      </w:r>
      <w:r w:rsidRPr="00DC0BAB">
        <w:rPr>
          <w:rFonts w:ascii="Times New Roman" w:hAnsi="Times New Roman" w:cs="Times New Roman"/>
          <w:sz w:val="24"/>
          <w:szCs w:val="24"/>
        </w:rPr>
        <w:t>2017 году направлено 10415,0 тыс. рублей, или 96,3 процента плана;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в полном объеме предоставлены субсидии государственному автономному учреждению Амурской области «Многофункциональный центр предоставления государственных и муниципальных услуг Амурской области» при плановых назначениях в сумме 60544,3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на предоставление субсидии государственному бюджетному учреждению Амурской области «Центр информационных технологий Амурской области» направлено 33391,9 тыс. рублей, или 100,0 процентов плана;</w:t>
      </w:r>
    </w:p>
    <w:p w:rsidR="00DC0BAB" w:rsidRPr="00DC0BAB" w:rsidRDefault="00DC0BAB" w:rsidP="00DC0BAB">
      <w:pPr>
        <w:autoSpaceDE w:val="0"/>
        <w:autoSpaceDN w:val="0"/>
        <w:adjustRightInd w:val="0"/>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на финансирование мероприятия «Развитие инфраструктуры электронного правительства в исполнительных органах государственной власти Амурской области» направлено 5500,0 тыс. рублей, или 100,0 процентов плана.</w:t>
      </w:r>
    </w:p>
    <w:p w:rsidR="00DC0BAB" w:rsidRPr="00DC0BAB" w:rsidRDefault="00DC0BAB" w:rsidP="00DC0BAB">
      <w:pPr>
        <w:pStyle w:val="afa"/>
        <w:numPr>
          <w:ilvl w:val="0"/>
          <w:numId w:val="6"/>
        </w:numPr>
        <w:tabs>
          <w:tab w:val="left" w:pos="709"/>
        </w:tabs>
        <w:ind w:left="0" w:firstLine="709"/>
        <w:jc w:val="both"/>
        <w:rPr>
          <w:i/>
          <w:sz w:val="24"/>
          <w:szCs w:val="24"/>
        </w:rPr>
      </w:pPr>
      <w:r w:rsidRPr="00DC0BAB">
        <w:rPr>
          <w:i/>
          <w:sz w:val="24"/>
          <w:szCs w:val="24"/>
        </w:rPr>
        <w:t>Подпрограмма «Реализация единой внутренней политики на территории области и поддержка социально ориентированных некоммерческих организаций»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Бюджетные ассигнования по подпрограмме «Реализация единой внутренней политики на территории области и поддержка социально ориентированных некоммерческих организаций» утверждены в расходах областного бюджета в сумме 69530,8 тыс. рублей.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Координатором подпрограммы определено министерство внутренней и информационной политики Амурской области.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97,2 процента (объем неисполненных ассигнований составил </w:t>
      </w:r>
      <w:r w:rsidRPr="00DC0BAB">
        <w:rPr>
          <w:rFonts w:ascii="Times New Roman" w:hAnsi="Times New Roman" w:cs="Times New Roman"/>
          <w:sz w:val="24"/>
          <w:szCs w:val="24"/>
        </w:rPr>
        <w:br/>
        <w:t>1917,8 тыс. рублей).</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По данной подпрограмме осуществлялось финансирование расходов:</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на обеспечение функций министерства внутренней и информационной политики области в сумме 26234,6 тыс. рублей, или 94,0 процента плана (в соответствии с постановлением губернатора Амурской области от 31.10.2017 № 225 «О структуре исполнительных органов государственной власти Амурской области» данное министерство упразднено);</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lastRenderedPageBreak/>
        <w:t>- на обеспечение деятельности государственного казенного учреждения Амурской области «Аппарат общественной палаты Амурской области» в сумме 5047,0 тыс. рублей, или 96,8 процента плана.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Кроме того по данной подпрограмме направлено: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- 34778,1 тыс. рублей, или 99,5 процента плана – на информационное освещение деятельности органов государственной власти области и поддержку СМИ;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-3287,8 тыс. рублей, или 100,0 процентов плана - на оказание финансовой поддержки деятельности СОНКО путем предоставления субсидий на реализацию социально значимых проектов.</w:t>
      </w:r>
    </w:p>
    <w:p w:rsidR="00DC0BAB" w:rsidRPr="00DC0BAB" w:rsidRDefault="00DC0BAB" w:rsidP="00DC0BAB">
      <w:pPr>
        <w:pStyle w:val="afa"/>
        <w:numPr>
          <w:ilvl w:val="0"/>
          <w:numId w:val="6"/>
        </w:numPr>
        <w:ind w:left="0" w:firstLine="709"/>
        <w:jc w:val="both"/>
        <w:rPr>
          <w:i/>
          <w:sz w:val="24"/>
          <w:szCs w:val="24"/>
        </w:rPr>
      </w:pPr>
      <w:r w:rsidRPr="00DC0BAB">
        <w:rPr>
          <w:i/>
          <w:sz w:val="24"/>
          <w:szCs w:val="24"/>
        </w:rPr>
        <w:t>Подпрограмма «Улучшение условий и охраны труда»</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В рамках данной подпрограммы реализуется мероприятие, направленное на проведение профилактической работы по предупреждению производственного травматизма и профессиональной заболеваемости. На реализацию мероприятия управлением занятости населения области в 2017 году направлено 100,0 тыс. рублей, или 100,0 процентов плана.</w:t>
      </w:r>
    </w:p>
    <w:p w:rsidR="00DC0BAB" w:rsidRPr="00DC0BAB" w:rsidRDefault="00DC0BAB" w:rsidP="00DC0BAB">
      <w:pPr>
        <w:pStyle w:val="afa"/>
        <w:numPr>
          <w:ilvl w:val="0"/>
          <w:numId w:val="6"/>
        </w:numPr>
        <w:ind w:left="0" w:firstLine="709"/>
        <w:jc w:val="both"/>
        <w:rPr>
          <w:i/>
          <w:sz w:val="24"/>
          <w:szCs w:val="24"/>
        </w:rPr>
      </w:pPr>
      <w:r w:rsidRPr="00DC0BAB">
        <w:rPr>
          <w:i/>
          <w:sz w:val="24"/>
          <w:szCs w:val="24"/>
        </w:rPr>
        <w:t>Подпрограмма «Обеспечение реализации основных направлений государственной политики в отдельных сферах государственного управления на территории области»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Бюджетные ассигнования по подпрограмме «Обеспечение реализации основных направлений государственной политики в отдельных сферах государственного управления на территории области» утверждены в расходах областного бюджета в сумме 364382,9 тыс. рублей. </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Координатором подпрограммы определено Министерство юстиции Амурской области.</w:t>
      </w:r>
    </w:p>
    <w:p w:rsidR="00DC0BAB" w:rsidRPr="00DC0BAB" w:rsidRDefault="00DC0BAB" w:rsidP="00DC0BAB">
      <w:pPr>
        <w:spacing w:after="0" w:line="240"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97,2 процента (объем неисполненных ассигнований составил </w:t>
      </w:r>
      <w:r w:rsidRPr="00DC0BAB">
        <w:rPr>
          <w:rFonts w:ascii="Times New Roman" w:hAnsi="Times New Roman" w:cs="Times New Roman"/>
          <w:sz w:val="24"/>
          <w:szCs w:val="24"/>
        </w:rPr>
        <w:br/>
        <w:t>10257,7 тыс. рублей).</w:t>
      </w:r>
    </w:p>
    <w:p w:rsidR="00DC0BAB" w:rsidRPr="00DC0BAB" w:rsidRDefault="00DC0BAB" w:rsidP="00853C43">
      <w:pPr>
        <w:spacing w:after="0" w:line="271"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Наибольшую долю объема расходов по данной подпрограмме – 47,9 процента составляют расходы на реализацию мероприятия «Расходы по обеспечению деятельности мировых судей Амурской области». На данное мероприятие предусмотрено 174427,5 тыс. рублей, исполнение составило 171515,9 тыс. рублей, или 98,3 процента. Данное мероприятие включает в себя финансовое и материально-техническое обеспечение деятельности мировых судей (обеспечение служебным помещением, выделение средств на транспортные, почтовые расходы, хозяйственную деятельность и т.д.), содержание аппарата министерства юстиции Амурской области.</w:t>
      </w:r>
    </w:p>
    <w:p w:rsidR="00DC0BAB" w:rsidRPr="00DC0BAB" w:rsidRDefault="00DC0BAB" w:rsidP="00853C43">
      <w:pPr>
        <w:spacing w:after="0" w:line="271"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На реализацию программного мероприятия «Содержание органов исполнительной власти» предусмотрено 113324,6 тыс. рублей, исполнение составило 111427,9 тыс. рублей, или 98,3 процента. Данные расходы включают обеспечение деятельности управления записи актов гражданского состояния Амурской области, управления государственного заказа Амурской области, управления государственного регулирования цен и тарифов Амурской области.</w:t>
      </w:r>
    </w:p>
    <w:p w:rsidR="00DC0BAB" w:rsidRPr="00DC0BAB" w:rsidRDefault="00DC0BAB" w:rsidP="00853C43">
      <w:pPr>
        <w:spacing w:after="0" w:line="271"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Кроме того, по данной подпрограмме предусмотрены ассигнования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в сумме 86812,6 тыс. рублей, исполнение составило 81969,9 тыс. рублей. Данное мероприятие осуществляется за счет субвенции из федерального бюджета. Остаток неиспользованной субвенции составил 4842,7 тыс. рублей.</w:t>
      </w:r>
    </w:p>
    <w:p w:rsidR="00DC0BAB" w:rsidRPr="00DC0BAB" w:rsidRDefault="00DC0BAB" w:rsidP="00853C43">
      <w:pPr>
        <w:spacing w:after="0" w:line="271"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t>Расходы по программному мероприятию «Финансовое обеспечение государственных полномочий по организационному обеспечению деятельности административных комиссий» при плане 17104,1 тыс. рублей исполнены в сумме 15937,9 тыс. рублей, или 93,2 процента.</w:t>
      </w:r>
    </w:p>
    <w:p w:rsidR="00DC0BAB" w:rsidRPr="00DC0BAB" w:rsidRDefault="00DC0BAB" w:rsidP="00853C43">
      <w:pPr>
        <w:spacing w:after="0" w:line="271" w:lineRule="auto"/>
        <w:ind w:firstLine="709"/>
        <w:jc w:val="both"/>
        <w:rPr>
          <w:rFonts w:ascii="Times New Roman" w:hAnsi="Times New Roman" w:cs="Times New Roman"/>
          <w:sz w:val="24"/>
          <w:szCs w:val="24"/>
        </w:rPr>
      </w:pPr>
      <w:r w:rsidRPr="00DC0BAB">
        <w:rPr>
          <w:rFonts w:ascii="Times New Roman" w:hAnsi="Times New Roman" w:cs="Times New Roman"/>
          <w:sz w:val="24"/>
          <w:szCs w:val="24"/>
        </w:rPr>
        <w:lastRenderedPageBreak/>
        <w:t>Информация о расходах государственной программы «Повышение эффективности деятельности органов государственной власти и управления Амурской области на 2014-2020 годы» по основным направлениям деятельности представлена на рисунке</w:t>
      </w:r>
      <w:r w:rsidR="00195D98">
        <w:rPr>
          <w:rFonts w:ascii="Times New Roman" w:hAnsi="Times New Roman" w:cs="Times New Roman"/>
          <w:sz w:val="24"/>
          <w:szCs w:val="24"/>
        </w:rPr>
        <w:t xml:space="preserve"> 30</w:t>
      </w:r>
      <w:r w:rsidRPr="00DC0BAB">
        <w:rPr>
          <w:rFonts w:ascii="Times New Roman" w:hAnsi="Times New Roman" w:cs="Times New Roman"/>
          <w:sz w:val="24"/>
          <w:szCs w:val="24"/>
        </w:rPr>
        <w:t>.</w:t>
      </w:r>
    </w:p>
    <w:p w:rsidR="00DC0BAB" w:rsidRPr="002301AF" w:rsidRDefault="00DC0BAB" w:rsidP="00DC0BAB">
      <w:pPr>
        <w:spacing w:after="0"/>
        <w:ind w:firstLine="709"/>
        <w:jc w:val="both"/>
        <w:rPr>
          <w:rFonts w:ascii="Times New Roman" w:hAnsi="Times New Roman" w:cs="Times New Roman"/>
          <w:sz w:val="24"/>
          <w:szCs w:val="24"/>
        </w:rPr>
      </w:pPr>
    </w:p>
    <w:p w:rsidR="00DC0BAB" w:rsidRPr="00A96F0D" w:rsidRDefault="00DC0BAB" w:rsidP="00DC0BAB">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51249FA" wp14:editId="19ACC268">
            <wp:extent cx="6086247" cy="4564685"/>
            <wp:effectExtent l="38100" t="57150" r="48260" b="4572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C0BAB" w:rsidRDefault="00DC0BAB" w:rsidP="00195D98">
      <w:pPr>
        <w:spacing w:before="120" w:after="0"/>
        <w:ind w:firstLine="709"/>
        <w:jc w:val="center"/>
        <w:rPr>
          <w:rFonts w:ascii="Times New Roman" w:hAnsi="Times New Roman" w:cs="Times New Roman"/>
          <w:b/>
          <w:sz w:val="24"/>
          <w:szCs w:val="24"/>
        </w:rPr>
      </w:pPr>
      <w:r w:rsidRPr="006C310B">
        <w:rPr>
          <w:rFonts w:ascii="Times New Roman" w:hAnsi="Times New Roman" w:cs="Times New Roman"/>
          <w:b/>
          <w:sz w:val="24"/>
          <w:szCs w:val="24"/>
        </w:rPr>
        <w:t xml:space="preserve">Рис. </w:t>
      </w:r>
      <w:r w:rsidR="00195D98">
        <w:rPr>
          <w:rFonts w:ascii="Times New Roman" w:hAnsi="Times New Roman" w:cs="Times New Roman"/>
          <w:b/>
          <w:sz w:val="24"/>
          <w:szCs w:val="24"/>
        </w:rPr>
        <w:t>30 -</w:t>
      </w:r>
      <w:r w:rsidRPr="006C310B">
        <w:rPr>
          <w:rFonts w:ascii="Times New Roman" w:hAnsi="Times New Roman" w:cs="Times New Roman"/>
          <w:b/>
          <w:sz w:val="24"/>
          <w:szCs w:val="24"/>
        </w:rPr>
        <w:t xml:space="preserve"> Основные направления расходов областного бюджета по государственной программе «Повышение эффективности деятельности органов государственной власти и управления Амурской области на 2014-2020 годы»</w:t>
      </w:r>
      <w:r>
        <w:rPr>
          <w:rFonts w:ascii="Times New Roman" w:hAnsi="Times New Roman" w:cs="Times New Roman"/>
          <w:b/>
          <w:sz w:val="24"/>
          <w:szCs w:val="24"/>
        </w:rPr>
        <w:t>, млн. рублей</w:t>
      </w:r>
    </w:p>
    <w:p w:rsidR="00731260" w:rsidRDefault="00731260" w:rsidP="00195D98">
      <w:pPr>
        <w:spacing w:after="0" w:line="240" w:lineRule="auto"/>
        <w:ind w:firstLine="709"/>
        <w:jc w:val="both"/>
        <w:rPr>
          <w:rFonts w:ascii="Times New Roman" w:hAnsi="Times New Roman" w:cs="Times New Roman"/>
          <w:sz w:val="24"/>
          <w:szCs w:val="24"/>
        </w:rPr>
      </w:pPr>
    </w:p>
    <w:p w:rsidR="00DC0BAB" w:rsidRPr="00B15727" w:rsidRDefault="00DC0BAB" w:rsidP="00731260">
      <w:pPr>
        <w:spacing w:after="0"/>
        <w:ind w:firstLine="709"/>
        <w:jc w:val="both"/>
        <w:rPr>
          <w:rFonts w:ascii="Times New Roman" w:hAnsi="Times New Roman" w:cs="Times New Roman"/>
          <w:sz w:val="24"/>
          <w:szCs w:val="24"/>
        </w:rPr>
      </w:pPr>
      <w:r w:rsidRPr="00B15727">
        <w:rPr>
          <w:rFonts w:ascii="Times New Roman" w:hAnsi="Times New Roman" w:cs="Times New Roman"/>
          <w:sz w:val="24"/>
          <w:szCs w:val="24"/>
        </w:rPr>
        <w:t>В целом по государственной программе отмечается недостижение таких плановых показателей (индикаторов) как:</w:t>
      </w:r>
    </w:p>
    <w:p w:rsidR="00DC0BAB" w:rsidRPr="00B15727" w:rsidRDefault="00DC0BAB" w:rsidP="00731260">
      <w:pPr>
        <w:pStyle w:val="afa"/>
        <w:numPr>
          <w:ilvl w:val="0"/>
          <w:numId w:val="19"/>
        </w:numPr>
        <w:spacing w:line="276" w:lineRule="auto"/>
        <w:ind w:left="0" w:firstLine="709"/>
        <w:jc w:val="both"/>
        <w:rPr>
          <w:sz w:val="24"/>
          <w:szCs w:val="24"/>
        </w:rPr>
      </w:pPr>
      <w:r w:rsidRPr="00B15727">
        <w:rPr>
          <w:sz w:val="24"/>
          <w:szCs w:val="24"/>
        </w:rPr>
        <w:t>доля используемых областных объектов в общем количестве областных объектов – значение фактически достигнутого показателя (индикатора) –99,0 процентов;</w:t>
      </w:r>
    </w:p>
    <w:p w:rsidR="00DC0BAB" w:rsidRPr="00B15727" w:rsidRDefault="00DC0BAB" w:rsidP="00731260">
      <w:pPr>
        <w:pStyle w:val="afa"/>
        <w:numPr>
          <w:ilvl w:val="0"/>
          <w:numId w:val="19"/>
        </w:numPr>
        <w:spacing w:line="276" w:lineRule="auto"/>
        <w:ind w:left="0" w:firstLine="709"/>
        <w:jc w:val="both"/>
        <w:rPr>
          <w:color w:val="4F81BD" w:themeColor="accent1"/>
          <w:sz w:val="24"/>
          <w:szCs w:val="24"/>
        </w:rPr>
      </w:pPr>
      <w:r w:rsidRPr="00B15727">
        <w:rPr>
          <w:sz w:val="24"/>
          <w:szCs w:val="24"/>
        </w:rPr>
        <w:t>количество некоммерческих организаций на территории региона – значение фактически достигнутого показателя (индикатора) – 97,0 процентов.</w:t>
      </w:r>
    </w:p>
    <w:p w:rsidR="00DC0BAB" w:rsidRPr="00B15727" w:rsidRDefault="00DC0BAB" w:rsidP="00731260">
      <w:pPr>
        <w:pStyle w:val="afa"/>
        <w:spacing w:line="276" w:lineRule="auto"/>
        <w:ind w:left="0" w:firstLine="709"/>
        <w:jc w:val="both"/>
        <w:rPr>
          <w:sz w:val="24"/>
          <w:szCs w:val="24"/>
        </w:rPr>
      </w:pPr>
      <w:r w:rsidRPr="00B15727">
        <w:rPr>
          <w:sz w:val="24"/>
          <w:szCs w:val="24"/>
        </w:rPr>
        <w:t>Кроме того не определено место Амурской области в рейтинге регионов Российской Федерации по комплексной оценке эффективности деятельности органов исполнительной власти субъектов Российской Федерации – результат достижения установленного показателя (индикатора) эффективности будет определен в ноябре 201</w:t>
      </w:r>
      <w:r>
        <w:rPr>
          <w:sz w:val="24"/>
          <w:szCs w:val="24"/>
        </w:rPr>
        <w:t>8</w:t>
      </w:r>
      <w:r w:rsidRPr="00B15727">
        <w:rPr>
          <w:sz w:val="24"/>
          <w:szCs w:val="24"/>
        </w:rPr>
        <w:t xml:space="preserve"> года.</w:t>
      </w:r>
    </w:p>
    <w:p w:rsidR="00DC0BAB" w:rsidRDefault="00DC0BAB" w:rsidP="00731260">
      <w:pPr>
        <w:spacing w:after="0"/>
        <w:ind w:firstLine="709"/>
        <w:jc w:val="both"/>
        <w:rPr>
          <w:rFonts w:ascii="Times New Roman" w:hAnsi="Times New Roman" w:cs="Times New Roman"/>
          <w:sz w:val="24"/>
          <w:szCs w:val="24"/>
        </w:rPr>
      </w:pPr>
      <w:r w:rsidRPr="00B15727">
        <w:rPr>
          <w:rFonts w:ascii="Times New Roman" w:hAnsi="Times New Roman" w:cs="Times New Roman"/>
          <w:sz w:val="24"/>
          <w:szCs w:val="24"/>
        </w:rPr>
        <w:t xml:space="preserve">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2016 год, государственная программа </w:t>
      </w:r>
      <w:r w:rsidRPr="00B15727">
        <w:rPr>
          <w:rFonts w:ascii="Times New Roman" w:hAnsi="Times New Roman" w:cs="Times New Roman"/>
          <w:b/>
          <w:sz w:val="24"/>
          <w:szCs w:val="24"/>
        </w:rPr>
        <w:t>«</w:t>
      </w:r>
      <w:r w:rsidRPr="00B15727">
        <w:rPr>
          <w:rFonts w:ascii="Times New Roman" w:hAnsi="Times New Roman" w:cs="Times New Roman"/>
          <w:sz w:val="24"/>
          <w:szCs w:val="24"/>
        </w:rPr>
        <w:t xml:space="preserve">Повышение </w:t>
      </w:r>
      <w:r w:rsidRPr="00B15727">
        <w:rPr>
          <w:rFonts w:ascii="Times New Roman" w:hAnsi="Times New Roman" w:cs="Times New Roman"/>
          <w:sz w:val="24"/>
          <w:szCs w:val="24"/>
        </w:rPr>
        <w:lastRenderedPageBreak/>
        <w:t>эффективности деятельности органов государственной власти и управления Амурской области на 2014-2020 годы» признана эффективной.</w:t>
      </w:r>
    </w:p>
    <w:p w:rsidR="00731260" w:rsidRDefault="00731260" w:rsidP="00195D98">
      <w:pPr>
        <w:spacing w:after="0" w:line="240" w:lineRule="auto"/>
        <w:ind w:firstLine="709"/>
        <w:jc w:val="both"/>
        <w:rPr>
          <w:rFonts w:ascii="Times New Roman" w:hAnsi="Times New Roman" w:cs="Times New Roman"/>
          <w:sz w:val="24"/>
          <w:szCs w:val="24"/>
        </w:rPr>
      </w:pPr>
    </w:p>
    <w:p w:rsidR="00195D98" w:rsidRPr="00B6003B" w:rsidRDefault="00195D98" w:rsidP="00195D98">
      <w:pPr>
        <w:widowControl w:val="0"/>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B6003B">
        <w:rPr>
          <w:rFonts w:ascii="Times New Roman" w:eastAsia="Times New Roman" w:hAnsi="Times New Roman" w:cs="Times New Roman"/>
          <w:b/>
          <w:sz w:val="24"/>
          <w:szCs w:val="24"/>
          <w:lang w:eastAsia="ru-RU"/>
        </w:rPr>
        <w:t>5.11. Исполнение расходов областного бюджета за 2017 год в рамках государственной программы «</w:t>
      </w:r>
      <w:r w:rsidRPr="00B6003B">
        <w:rPr>
          <w:rFonts w:ascii="Times New Roman" w:eastAsia="Calibri" w:hAnsi="Times New Roman" w:cs="Times New Roman"/>
          <w:b/>
          <w:bCs/>
          <w:sz w:val="24"/>
          <w:szCs w:val="24"/>
        </w:rPr>
        <w:t>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w:t>
      </w:r>
    </w:p>
    <w:p w:rsidR="00195D98" w:rsidRPr="008F21DC" w:rsidRDefault="00195D98" w:rsidP="00731260">
      <w:pPr>
        <w:widowControl w:val="0"/>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 xml:space="preserve">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составе четырех подпрограмм утверждена постановлением Правительства Амурской области от 25.09.2013 № 454 (с изменениями и дополнениями) с объемом ассигнований областного бюджета на 2017 год – </w:t>
      </w:r>
      <w:r>
        <w:rPr>
          <w:rFonts w:ascii="Times New Roman" w:eastAsia="Times New Roman" w:hAnsi="Times New Roman" w:cs="Times New Roman"/>
          <w:sz w:val="24"/>
          <w:szCs w:val="24"/>
          <w:lang w:eastAsia="ru-RU"/>
        </w:rPr>
        <w:t>823431,6</w:t>
      </w:r>
      <w:r w:rsidRPr="008F21DC">
        <w:rPr>
          <w:rFonts w:ascii="Times New Roman" w:eastAsia="Times New Roman" w:hAnsi="Times New Roman" w:cs="Times New Roman"/>
          <w:sz w:val="24"/>
          <w:szCs w:val="24"/>
          <w:lang w:eastAsia="ru-RU"/>
        </w:rPr>
        <w:t xml:space="preserve"> тыс. рублей, в том числе за счет средств федерального бюджета – </w:t>
      </w:r>
      <w:r>
        <w:rPr>
          <w:rFonts w:ascii="Times New Roman" w:eastAsia="Times New Roman" w:hAnsi="Times New Roman" w:cs="Times New Roman"/>
          <w:sz w:val="24"/>
          <w:szCs w:val="24"/>
          <w:lang w:eastAsia="ru-RU"/>
        </w:rPr>
        <w:br/>
      </w:r>
      <w:r w:rsidRPr="008F21D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0797,0</w:t>
      </w:r>
      <w:r w:rsidRPr="008F21DC">
        <w:rPr>
          <w:rFonts w:ascii="Times New Roman" w:eastAsia="Times New Roman" w:hAnsi="Times New Roman" w:cs="Times New Roman"/>
          <w:sz w:val="24"/>
          <w:szCs w:val="24"/>
          <w:lang w:eastAsia="ru-RU"/>
        </w:rPr>
        <w:t xml:space="preserve"> тыс. рублей, за счет средств областного бюджета – </w:t>
      </w:r>
      <w:r>
        <w:rPr>
          <w:rFonts w:ascii="Times New Roman" w:eastAsia="Times New Roman" w:hAnsi="Times New Roman" w:cs="Times New Roman"/>
          <w:sz w:val="24"/>
          <w:szCs w:val="24"/>
          <w:lang w:eastAsia="ru-RU"/>
        </w:rPr>
        <w:t>802634,6</w:t>
      </w:r>
      <w:r w:rsidRPr="008F21DC">
        <w:rPr>
          <w:rFonts w:ascii="Times New Roman" w:eastAsia="Times New Roman" w:hAnsi="Times New Roman" w:cs="Times New Roman"/>
          <w:sz w:val="24"/>
          <w:szCs w:val="24"/>
          <w:lang w:eastAsia="ru-RU"/>
        </w:rPr>
        <w:t xml:space="preserve"> тыс. рублей. </w:t>
      </w:r>
    </w:p>
    <w:p w:rsidR="00195D98" w:rsidRPr="00B6003B" w:rsidRDefault="00195D98" w:rsidP="00731260">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027F56">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027F56">
        <w:rPr>
          <w:rFonts w:ascii="Times New Roman" w:eastAsia="Times New Roman" w:hAnsi="Times New Roman" w:cs="Times New Roman"/>
          <w:sz w:val="24"/>
          <w:szCs w:val="24"/>
          <w:lang w:eastAsia="ru-RU"/>
        </w:rPr>
        <w:t xml:space="preserve"> Амурской области «Об областном бюджете на 2017 год и плановый период 2018 и 2019 годов»</w:t>
      </w:r>
      <w:r>
        <w:rPr>
          <w:rFonts w:ascii="Times New Roman" w:eastAsia="Times New Roman" w:hAnsi="Times New Roman" w:cs="Times New Roman"/>
          <w:sz w:val="24"/>
          <w:szCs w:val="24"/>
          <w:lang w:eastAsia="ru-RU"/>
        </w:rPr>
        <w:t xml:space="preserve"> </w:t>
      </w:r>
      <w:r w:rsidRPr="00027F56">
        <w:rPr>
          <w:rFonts w:ascii="Times New Roman" w:eastAsia="Times New Roman" w:hAnsi="Times New Roman" w:cs="Times New Roman"/>
          <w:sz w:val="24"/>
          <w:szCs w:val="24"/>
          <w:lang w:eastAsia="ru-RU"/>
        </w:rPr>
        <w:t>(ред. от 2</w:t>
      </w:r>
      <w:r>
        <w:rPr>
          <w:rFonts w:ascii="Times New Roman" w:eastAsia="Times New Roman" w:hAnsi="Times New Roman" w:cs="Times New Roman"/>
          <w:sz w:val="24"/>
          <w:szCs w:val="24"/>
          <w:lang w:eastAsia="ru-RU"/>
        </w:rPr>
        <w:t>1</w:t>
      </w:r>
      <w:r w:rsidRPr="00027F56">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7 №161-ОЗ</w:t>
      </w:r>
      <w:r w:rsidRPr="00027F56">
        <w:rPr>
          <w:rFonts w:ascii="Times New Roman" w:eastAsia="Times New Roman" w:hAnsi="Times New Roman" w:cs="Times New Roman"/>
          <w:sz w:val="24"/>
          <w:szCs w:val="24"/>
          <w:lang w:eastAsia="ru-RU"/>
        </w:rPr>
        <w:t xml:space="preserve">) </w:t>
      </w:r>
      <w:r w:rsidRPr="00B6003B">
        <w:rPr>
          <w:rFonts w:ascii="Times New Roman" w:eastAsia="Times New Roman" w:hAnsi="Times New Roman" w:cs="Times New Roman"/>
          <w:sz w:val="24"/>
          <w:szCs w:val="24"/>
          <w:lang w:eastAsia="ru-RU"/>
        </w:rPr>
        <w:t xml:space="preserve">утверждены ассигнования на реализацию трех подпрограмм, входящих в состав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на общую сумму </w:t>
      </w:r>
      <w:r>
        <w:rPr>
          <w:rFonts w:ascii="Times New Roman" w:eastAsia="Times New Roman" w:hAnsi="Times New Roman" w:cs="Times New Roman"/>
          <w:sz w:val="24"/>
          <w:szCs w:val="24"/>
          <w:lang w:eastAsia="ru-RU"/>
        </w:rPr>
        <w:t>823431,7</w:t>
      </w:r>
      <w:r w:rsidRPr="00B6003B">
        <w:rPr>
          <w:rFonts w:ascii="Times New Roman" w:eastAsia="Times New Roman" w:hAnsi="Times New Roman" w:cs="Times New Roman"/>
          <w:sz w:val="24"/>
          <w:szCs w:val="24"/>
          <w:lang w:eastAsia="ru-RU"/>
        </w:rPr>
        <w:t xml:space="preserve"> тыс. рублей.</w:t>
      </w:r>
    </w:p>
    <w:p w:rsidR="00195D98" w:rsidRPr="00B6003B" w:rsidRDefault="00195D98" w:rsidP="00731260">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Сводной бюджетной росписью н</w:t>
      </w:r>
      <w:r w:rsidRPr="00B6003B">
        <w:rPr>
          <w:rFonts w:ascii="Times New Roman" w:eastAsia="Calibri" w:hAnsi="Times New Roman" w:cs="Times New Roman"/>
          <w:sz w:val="24"/>
          <w:szCs w:val="24"/>
        </w:rPr>
        <w:t>а реализацию</w:t>
      </w:r>
      <w:r w:rsidRPr="00B6003B">
        <w:rPr>
          <w:rFonts w:ascii="Times New Roman" w:eastAsia="Times New Roman" w:hAnsi="Times New Roman" w:cs="Times New Roman"/>
          <w:sz w:val="24"/>
          <w:szCs w:val="24"/>
          <w:lang w:eastAsia="ru-RU"/>
        </w:rPr>
        <w:t xml:space="preserve">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w:t>
      </w:r>
      <w:r>
        <w:rPr>
          <w:rFonts w:ascii="Times New Roman" w:eastAsia="Times New Roman" w:hAnsi="Times New Roman" w:cs="Times New Roman"/>
          <w:sz w:val="24"/>
          <w:szCs w:val="24"/>
          <w:lang w:eastAsia="ru-RU"/>
        </w:rPr>
        <w:br/>
      </w:r>
      <w:r w:rsidRPr="00B6003B">
        <w:rPr>
          <w:rFonts w:ascii="Times New Roman" w:eastAsia="Times New Roman" w:hAnsi="Times New Roman" w:cs="Times New Roman"/>
          <w:sz w:val="24"/>
          <w:szCs w:val="24"/>
          <w:lang w:eastAsia="ru-RU"/>
        </w:rPr>
        <w:t>2014–2020 годы» предусмотрены ассигнования в сумме 823431,7 тыс. рублей. Исполнение бюджетных назначений составило 808107,4 тыс. рублей, или 98,1 процента предусмотренных бюджетной росписью средств. Неисполненные назначения составили 15324,3 тыс. рублей.</w:t>
      </w:r>
    </w:p>
    <w:p w:rsidR="00195D98" w:rsidRPr="002B4B17" w:rsidRDefault="00195D98" w:rsidP="00731260">
      <w:pPr>
        <w:autoSpaceDE w:val="0"/>
        <w:autoSpaceDN w:val="0"/>
        <w:adjustRightInd w:val="0"/>
        <w:spacing w:after="0" w:line="264" w:lineRule="auto"/>
        <w:ind w:firstLine="708"/>
        <w:jc w:val="both"/>
        <w:rPr>
          <w:rFonts w:ascii="Times New Roman" w:eastAsia="Calibri" w:hAnsi="Times New Roman" w:cs="Times New Roman"/>
          <w:sz w:val="24"/>
          <w:szCs w:val="24"/>
        </w:rPr>
      </w:pPr>
      <w:r w:rsidRPr="00B6003B">
        <w:rPr>
          <w:rFonts w:ascii="Times New Roman" w:eastAsia="Times New Roman" w:hAnsi="Times New Roman" w:cs="Times New Roman"/>
          <w:sz w:val="24"/>
          <w:szCs w:val="24"/>
          <w:lang w:eastAsia="ru-RU"/>
        </w:rPr>
        <w:t>Координатором государственной программы определено м</w:t>
      </w:r>
      <w:r w:rsidRPr="00B6003B">
        <w:rPr>
          <w:rFonts w:ascii="Times New Roman" w:eastAsia="Calibri" w:hAnsi="Times New Roman" w:cs="Times New Roman"/>
          <w:sz w:val="24"/>
          <w:szCs w:val="24"/>
        </w:rPr>
        <w:t xml:space="preserve">инистерство лесного </w:t>
      </w:r>
      <w:r w:rsidRPr="002B4B17">
        <w:rPr>
          <w:rFonts w:ascii="Times New Roman" w:eastAsia="Calibri" w:hAnsi="Times New Roman" w:cs="Times New Roman"/>
          <w:sz w:val="24"/>
          <w:szCs w:val="24"/>
        </w:rPr>
        <w:t>хозяйства и пожарной безопасности Амурской области.</w:t>
      </w:r>
    </w:p>
    <w:p w:rsidR="00195D98" w:rsidRPr="002B4B17" w:rsidRDefault="00195D98" w:rsidP="00731260">
      <w:pPr>
        <w:widowControl w:val="0"/>
        <w:autoSpaceDE w:val="0"/>
        <w:autoSpaceDN w:val="0"/>
        <w:adjustRightInd w:val="0"/>
        <w:spacing w:after="0" w:line="264" w:lineRule="auto"/>
        <w:ind w:firstLine="709"/>
        <w:jc w:val="both"/>
        <w:rPr>
          <w:rFonts w:ascii="Times New Roman" w:eastAsia="Times New Roman" w:hAnsi="Times New Roman" w:cs="Times New Roman"/>
          <w:b/>
          <w:sz w:val="24"/>
          <w:szCs w:val="24"/>
          <w:lang w:eastAsia="ru-RU"/>
        </w:rPr>
      </w:pPr>
      <w:r w:rsidRPr="002B4B17">
        <w:rPr>
          <w:rFonts w:ascii="Times New Roman" w:eastAsia="Times New Roman" w:hAnsi="Times New Roman" w:cs="Times New Roman"/>
          <w:sz w:val="24"/>
          <w:szCs w:val="24"/>
          <w:lang w:eastAsia="ru-RU"/>
        </w:rPr>
        <w:t>Участниками программы являются министерство внешнеэкономических связей, туризма и предпринимательства области, министерство жилищно-коммунального хозяйства области, м</w:t>
      </w:r>
      <w:r w:rsidRPr="002B4B17">
        <w:rPr>
          <w:rFonts w:ascii="Times New Roman" w:eastAsia="Calibri" w:hAnsi="Times New Roman" w:cs="Times New Roman"/>
          <w:sz w:val="24"/>
          <w:szCs w:val="24"/>
        </w:rPr>
        <w:t>инистерство лесного хозяйства и пожарной безопасности Амурской области, министерство внутренней и информационной политики Амурской области,</w:t>
      </w:r>
      <w:r w:rsidRPr="002B4B17">
        <w:rPr>
          <w:rFonts w:ascii="Times New Roman" w:eastAsia="Times New Roman" w:hAnsi="Times New Roman" w:cs="Times New Roman"/>
          <w:sz w:val="24"/>
          <w:szCs w:val="24"/>
          <w:lang w:eastAsia="ru-RU"/>
        </w:rPr>
        <w:t xml:space="preserve"> управление по охране, контролю и регулированию использования объектов животного мира и среды их обитания Амурской области.</w:t>
      </w:r>
    </w:p>
    <w:p w:rsidR="00195D98" w:rsidRPr="002B4B17" w:rsidRDefault="00195D98" w:rsidP="00731260">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2B4B17">
        <w:rPr>
          <w:rFonts w:ascii="Times New Roman" w:eastAsia="Calibri" w:hAnsi="Times New Roman" w:cs="Times New Roman"/>
          <w:bCs/>
          <w:sz w:val="24"/>
          <w:szCs w:val="24"/>
        </w:rPr>
        <w:t xml:space="preserve">В соответствии с </w:t>
      </w:r>
      <w:r w:rsidRPr="002B4B17">
        <w:rPr>
          <w:rFonts w:ascii="Times New Roman" w:eastAsia="Times New Roman" w:hAnsi="Times New Roman" w:cs="Times New Roman"/>
          <w:sz w:val="24"/>
          <w:szCs w:val="24"/>
          <w:lang w:eastAsia="ru-RU"/>
        </w:rPr>
        <w:t xml:space="preserve">постановлением Правительства Амурской области от 25.09.2013 </w:t>
      </w:r>
      <w:r w:rsidRPr="002B4B17">
        <w:rPr>
          <w:rFonts w:ascii="Times New Roman" w:eastAsia="Times New Roman" w:hAnsi="Times New Roman" w:cs="Times New Roman"/>
          <w:sz w:val="24"/>
          <w:szCs w:val="24"/>
          <w:lang w:eastAsia="ru-RU"/>
        </w:rPr>
        <w:br/>
        <w:t>№ 454 (с изменениями и дополнениями) «Об утверждении государственной программы Амурской области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 р</w:t>
      </w:r>
      <w:r w:rsidRPr="002B4B17">
        <w:rPr>
          <w:rFonts w:ascii="Times New Roman" w:eastAsia="Calibri" w:hAnsi="Times New Roman" w:cs="Times New Roman"/>
          <w:bCs/>
          <w:sz w:val="24"/>
          <w:szCs w:val="24"/>
        </w:rPr>
        <w:t>есурсное обеспечение подпрограммы «Обеспечение реализации основных направлений государственной политики области в сфере гражданской обороны, защиты населения и территорий от чрезвычайных ситуаций» на 2017 и последующие годы не предусмотрено.</w:t>
      </w:r>
    </w:p>
    <w:p w:rsidR="00195D98" w:rsidRPr="00F66387" w:rsidRDefault="00195D98" w:rsidP="00731260">
      <w:pPr>
        <w:spacing w:after="0" w:line="264" w:lineRule="auto"/>
        <w:ind w:firstLine="709"/>
        <w:jc w:val="both"/>
        <w:rPr>
          <w:rFonts w:ascii="Times New Roman" w:eastAsia="Calibri" w:hAnsi="Times New Roman" w:cs="Times New Roman"/>
          <w:sz w:val="24"/>
          <w:szCs w:val="24"/>
        </w:rPr>
      </w:pPr>
      <w:r w:rsidRPr="00F66387">
        <w:rPr>
          <w:rFonts w:ascii="Times New Roman" w:eastAsia="Calibri" w:hAnsi="Times New Roman" w:cs="Times New Roman"/>
          <w:sz w:val="24"/>
          <w:szCs w:val="24"/>
        </w:rPr>
        <w:t xml:space="preserve">Согласно приложению № 1 «Информация о финансировании государственных программ Амурской области за январь-декабрь 2017 года (по состоянию на 01.01.2018)» к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объем исполненных ассигнований за счет средств области, </w:t>
      </w:r>
      <w:r w:rsidRPr="00F66387">
        <w:rPr>
          <w:rFonts w:ascii="Times New Roman" w:eastAsia="Calibri" w:hAnsi="Times New Roman" w:cs="Times New Roman"/>
          <w:sz w:val="24"/>
          <w:szCs w:val="24"/>
        </w:rPr>
        <w:lastRenderedPageBreak/>
        <w:t>отраженных в докладе, соответствует  результатам исполнения областного бюджета по государственной программе, отраженным в законопроекте.</w:t>
      </w:r>
    </w:p>
    <w:p w:rsidR="00195D98" w:rsidRDefault="00195D98" w:rsidP="00731260">
      <w:pPr>
        <w:widowControl w:val="0"/>
        <w:autoSpaceDE w:val="0"/>
        <w:autoSpaceDN w:val="0"/>
        <w:adjustRightInd w:val="0"/>
        <w:spacing w:after="0" w:line="264" w:lineRule="auto"/>
        <w:ind w:firstLine="709"/>
        <w:jc w:val="both"/>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 xml:space="preserve">В таблице </w:t>
      </w:r>
      <w:r w:rsidRPr="00195D98">
        <w:rPr>
          <w:rFonts w:ascii="Times New Roman" w:eastAsia="Times New Roman" w:hAnsi="Times New Roman" w:cs="Times New Roman"/>
          <w:sz w:val="24"/>
          <w:szCs w:val="24"/>
          <w:lang w:eastAsia="ru-RU"/>
        </w:rPr>
        <w:t>14 представлена информация об исполнении государственной программы в разрезе подпрограмм.</w:t>
      </w:r>
    </w:p>
    <w:p w:rsidR="00195D98" w:rsidRPr="00195D98" w:rsidRDefault="00195D98" w:rsidP="00195D9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95D98">
        <w:rPr>
          <w:rFonts w:ascii="Times New Roman" w:eastAsia="Times New Roman" w:hAnsi="Times New Roman" w:cs="Times New Roman"/>
          <w:sz w:val="24"/>
          <w:szCs w:val="24"/>
          <w:lang w:eastAsia="ru-RU"/>
        </w:rPr>
        <w:t>Таблица 14</w:t>
      </w:r>
    </w:p>
    <w:p w:rsidR="00195D98" w:rsidRPr="00B6003B" w:rsidRDefault="00195D98" w:rsidP="00195D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6003B">
        <w:rPr>
          <w:rFonts w:ascii="Times New Roman" w:eastAsia="Times New Roman" w:hAnsi="Times New Roman" w:cs="Times New Roman"/>
          <w:b/>
          <w:sz w:val="24"/>
          <w:szCs w:val="24"/>
          <w:lang w:eastAsia="ru-RU"/>
        </w:rPr>
        <w:t>Анализ исполнения государственной программы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 в разрезе подпрограмм</w:t>
      </w:r>
    </w:p>
    <w:p w:rsidR="00195D98" w:rsidRPr="00B6003B" w:rsidRDefault="00195D98" w:rsidP="00195D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481"/>
        <w:gridCol w:w="1531"/>
        <w:gridCol w:w="1505"/>
        <w:gridCol w:w="1425"/>
      </w:tblGrid>
      <w:tr w:rsidR="00195D98" w:rsidRPr="00B6003B" w:rsidTr="000B66CB">
        <w:trPr>
          <w:trHeight w:val="687"/>
          <w:tblHeader/>
        </w:trPr>
        <w:tc>
          <w:tcPr>
            <w:tcW w:w="3834" w:type="dxa"/>
            <w:shd w:val="clear" w:color="auto" w:fill="auto"/>
          </w:tcPr>
          <w:p w:rsidR="00195D98" w:rsidRPr="00B6003B" w:rsidRDefault="00195D98" w:rsidP="000B66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Наименование государственной программы/подпрограммы</w:t>
            </w:r>
          </w:p>
        </w:tc>
        <w:tc>
          <w:tcPr>
            <w:tcW w:w="1481" w:type="dxa"/>
            <w:shd w:val="clear" w:color="auto" w:fill="auto"/>
            <w:noWrap/>
          </w:tcPr>
          <w:p w:rsidR="00195D98" w:rsidRPr="00B6003B" w:rsidRDefault="00195D98" w:rsidP="000B66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План</w:t>
            </w:r>
          </w:p>
        </w:tc>
        <w:tc>
          <w:tcPr>
            <w:tcW w:w="1531" w:type="dxa"/>
            <w:shd w:val="clear" w:color="auto" w:fill="auto"/>
            <w:noWrap/>
          </w:tcPr>
          <w:p w:rsidR="00195D98" w:rsidRPr="00B6003B" w:rsidRDefault="00195D98" w:rsidP="000B66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Исполнение</w:t>
            </w:r>
          </w:p>
        </w:tc>
        <w:tc>
          <w:tcPr>
            <w:tcW w:w="1505" w:type="dxa"/>
            <w:shd w:val="clear" w:color="auto" w:fill="auto"/>
            <w:noWrap/>
          </w:tcPr>
          <w:p w:rsidR="00195D98" w:rsidRPr="00B6003B" w:rsidRDefault="00195D98" w:rsidP="000B66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Уровень исполнения</w:t>
            </w:r>
          </w:p>
        </w:tc>
        <w:tc>
          <w:tcPr>
            <w:tcW w:w="1425" w:type="dxa"/>
            <w:shd w:val="clear" w:color="auto" w:fill="auto"/>
            <w:noWrap/>
          </w:tcPr>
          <w:p w:rsidR="00195D98" w:rsidRPr="00B6003B" w:rsidRDefault="00195D98" w:rsidP="000B66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Не исполнены</w:t>
            </w:r>
          </w:p>
        </w:tc>
      </w:tr>
      <w:tr w:rsidR="00195D98" w:rsidRPr="00B6003B" w:rsidTr="000B66CB">
        <w:trPr>
          <w:trHeight w:val="1575"/>
        </w:trPr>
        <w:tc>
          <w:tcPr>
            <w:tcW w:w="3834" w:type="dxa"/>
            <w:shd w:val="clear" w:color="auto" w:fill="auto"/>
            <w:hideMark/>
          </w:tcPr>
          <w:p w:rsidR="00195D98" w:rsidRPr="00B6003B" w:rsidRDefault="00195D98" w:rsidP="000B66C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 xml:space="preserve">Государственная программа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 </w:t>
            </w:r>
            <w:r w:rsidRPr="00B6003B">
              <w:rPr>
                <w:rFonts w:ascii="Times New Roman" w:eastAsia="Times New Roman" w:hAnsi="Times New Roman" w:cs="Times New Roman"/>
                <w:bCs/>
                <w:sz w:val="24"/>
                <w:szCs w:val="24"/>
                <w:lang w:eastAsia="ru-RU"/>
              </w:rPr>
              <w:t>в том числе:</w:t>
            </w:r>
          </w:p>
        </w:tc>
        <w:tc>
          <w:tcPr>
            <w:tcW w:w="148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823431,7</w:t>
            </w:r>
          </w:p>
        </w:tc>
        <w:tc>
          <w:tcPr>
            <w:tcW w:w="153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808107,4</w:t>
            </w:r>
          </w:p>
        </w:tc>
        <w:tc>
          <w:tcPr>
            <w:tcW w:w="150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98,1</w:t>
            </w:r>
          </w:p>
        </w:tc>
        <w:tc>
          <w:tcPr>
            <w:tcW w:w="142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B6003B">
              <w:rPr>
                <w:rFonts w:ascii="Times New Roman" w:eastAsia="Times New Roman" w:hAnsi="Times New Roman" w:cs="Times New Roman"/>
                <w:b/>
                <w:bCs/>
                <w:sz w:val="24"/>
                <w:szCs w:val="24"/>
                <w:lang w:eastAsia="ru-RU"/>
              </w:rPr>
              <w:t>-15324,3</w:t>
            </w:r>
          </w:p>
        </w:tc>
      </w:tr>
      <w:tr w:rsidR="00195D98" w:rsidRPr="00B6003B" w:rsidTr="000B66CB">
        <w:trPr>
          <w:trHeight w:val="635"/>
        </w:trPr>
        <w:tc>
          <w:tcPr>
            <w:tcW w:w="3834" w:type="dxa"/>
            <w:shd w:val="clear" w:color="auto" w:fill="auto"/>
            <w:hideMark/>
          </w:tcPr>
          <w:p w:rsidR="00195D98" w:rsidRPr="00B6003B" w:rsidRDefault="00195D98" w:rsidP="000B66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Подпрограмма «Обеспечение пожарной безопасности»</w:t>
            </w:r>
          </w:p>
        </w:tc>
        <w:tc>
          <w:tcPr>
            <w:tcW w:w="148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644516,7</w:t>
            </w:r>
          </w:p>
        </w:tc>
        <w:tc>
          <w:tcPr>
            <w:tcW w:w="153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642243,2</w:t>
            </w:r>
          </w:p>
        </w:tc>
        <w:tc>
          <w:tcPr>
            <w:tcW w:w="150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99,6</w:t>
            </w:r>
          </w:p>
        </w:tc>
        <w:tc>
          <w:tcPr>
            <w:tcW w:w="142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-2273,5</w:t>
            </w:r>
          </w:p>
        </w:tc>
      </w:tr>
      <w:tr w:rsidR="00195D98" w:rsidRPr="00EB2FBD" w:rsidTr="000B66CB">
        <w:trPr>
          <w:trHeight w:val="945"/>
        </w:trPr>
        <w:tc>
          <w:tcPr>
            <w:tcW w:w="3834" w:type="dxa"/>
            <w:shd w:val="clear" w:color="auto" w:fill="auto"/>
            <w:hideMark/>
          </w:tcPr>
          <w:p w:rsidR="00195D98" w:rsidRPr="00B6003B" w:rsidRDefault="00195D98" w:rsidP="000B66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Подпрограмма «Развитие системы гражданской обороны, защиты населения и территорий от чрезвычайных ситуаций»</w:t>
            </w:r>
          </w:p>
        </w:tc>
        <w:tc>
          <w:tcPr>
            <w:tcW w:w="148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178132,5</w:t>
            </w:r>
          </w:p>
        </w:tc>
        <w:tc>
          <w:tcPr>
            <w:tcW w:w="153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165118,2</w:t>
            </w:r>
          </w:p>
        </w:tc>
        <w:tc>
          <w:tcPr>
            <w:tcW w:w="150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92,7</w:t>
            </w:r>
          </w:p>
        </w:tc>
        <w:tc>
          <w:tcPr>
            <w:tcW w:w="142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-13014,3</w:t>
            </w:r>
          </w:p>
        </w:tc>
      </w:tr>
      <w:tr w:rsidR="00195D98" w:rsidRPr="00B6003B" w:rsidTr="000B66CB">
        <w:trPr>
          <w:trHeight w:val="543"/>
        </w:trPr>
        <w:tc>
          <w:tcPr>
            <w:tcW w:w="3834" w:type="dxa"/>
            <w:shd w:val="clear" w:color="auto" w:fill="auto"/>
            <w:hideMark/>
          </w:tcPr>
          <w:p w:rsidR="00195D98" w:rsidRPr="00B6003B" w:rsidRDefault="00195D98" w:rsidP="000B66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Подпрограмма «Профилактика правонарушений, профилактика терроризма и экстремизма»</w:t>
            </w:r>
          </w:p>
        </w:tc>
        <w:tc>
          <w:tcPr>
            <w:tcW w:w="148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782,5</w:t>
            </w:r>
          </w:p>
        </w:tc>
        <w:tc>
          <w:tcPr>
            <w:tcW w:w="1531"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746,0</w:t>
            </w:r>
          </w:p>
        </w:tc>
        <w:tc>
          <w:tcPr>
            <w:tcW w:w="150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95,3</w:t>
            </w:r>
          </w:p>
        </w:tc>
        <w:tc>
          <w:tcPr>
            <w:tcW w:w="1425" w:type="dxa"/>
            <w:shd w:val="clear" w:color="auto" w:fill="auto"/>
            <w:noWrap/>
            <w:hideMark/>
          </w:tcPr>
          <w:p w:rsidR="00195D98" w:rsidRPr="00B6003B" w:rsidRDefault="00195D98" w:rsidP="000B66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6003B">
              <w:rPr>
                <w:rFonts w:ascii="Times New Roman" w:eastAsia="Times New Roman" w:hAnsi="Times New Roman" w:cs="Times New Roman"/>
                <w:sz w:val="24"/>
                <w:szCs w:val="24"/>
                <w:lang w:eastAsia="ru-RU"/>
              </w:rPr>
              <w:t>-36,5</w:t>
            </w:r>
          </w:p>
        </w:tc>
      </w:tr>
    </w:tbl>
    <w:p w:rsidR="00195D98" w:rsidRPr="00664AF3" w:rsidRDefault="00195D98" w:rsidP="00195D98">
      <w:pPr>
        <w:widowControl w:val="0"/>
        <w:numPr>
          <w:ilvl w:val="0"/>
          <w:numId w:val="6"/>
        </w:numPr>
        <w:autoSpaceDE w:val="0"/>
        <w:autoSpaceDN w:val="0"/>
        <w:adjustRightInd w:val="0"/>
        <w:spacing w:after="0" w:line="240" w:lineRule="auto"/>
        <w:ind w:left="0" w:firstLine="709"/>
        <w:contextualSpacing/>
        <w:rPr>
          <w:rFonts w:ascii="Times New Roman" w:eastAsia="Times New Roman" w:hAnsi="Times New Roman" w:cs="Times New Roman"/>
          <w:i/>
          <w:sz w:val="24"/>
          <w:szCs w:val="24"/>
          <w:lang w:eastAsia="ru-RU"/>
        </w:rPr>
      </w:pPr>
      <w:r w:rsidRPr="00664AF3">
        <w:rPr>
          <w:rFonts w:ascii="Times New Roman" w:eastAsia="Times New Roman" w:hAnsi="Times New Roman" w:cs="Times New Roman"/>
          <w:i/>
          <w:sz w:val="24"/>
          <w:szCs w:val="24"/>
          <w:lang w:eastAsia="ru-RU"/>
        </w:rPr>
        <w:t>Подпрограмма «Обеспечение пожарной безопасности»</w:t>
      </w:r>
    </w:p>
    <w:p w:rsidR="00195D98" w:rsidRPr="00664AF3" w:rsidRDefault="00195D98" w:rsidP="00195D98">
      <w:pPr>
        <w:spacing w:after="0" w:line="240" w:lineRule="auto"/>
        <w:ind w:firstLine="709"/>
        <w:jc w:val="both"/>
        <w:rPr>
          <w:rFonts w:ascii="Times New Roman" w:eastAsia="Calibri" w:hAnsi="Times New Roman" w:cs="Times New Roman"/>
          <w:sz w:val="24"/>
          <w:szCs w:val="24"/>
        </w:rPr>
      </w:pPr>
      <w:r w:rsidRPr="00664AF3">
        <w:rPr>
          <w:rFonts w:ascii="Times New Roman" w:eastAsia="Times New Roman" w:hAnsi="Times New Roman" w:cs="Times New Roman"/>
          <w:sz w:val="24"/>
          <w:szCs w:val="24"/>
          <w:lang w:eastAsia="ru-RU"/>
        </w:rPr>
        <w:t>Сводной бюджетной росписью н</w:t>
      </w:r>
      <w:r w:rsidRPr="00664AF3">
        <w:rPr>
          <w:rFonts w:ascii="Times New Roman" w:eastAsia="Calibri" w:hAnsi="Times New Roman" w:cs="Times New Roman"/>
          <w:sz w:val="24"/>
          <w:szCs w:val="24"/>
        </w:rPr>
        <w:t xml:space="preserve">а реализацию подпрограммы утверждены ассигнования областного бюджета в сумме 644516,7 тыс. рублей. В общем объеме расходов государственной программы доля расходов по данной подпрограмме составляет </w:t>
      </w:r>
      <w:r w:rsidR="00BE701A">
        <w:rPr>
          <w:rFonts w:ascii="Times New Roman" w:eastAsia="Calibri" w:hAnsi="Times New Roman" w:cs="Times New Roman"/>
          <w:sz w:val="24"/>
          <w:szCs w:val="24"/>
        </w:rPr>
        <w:br/>
      </w:r>
      <w:r w:rsidRPr="00664AF3">
        <w:rPr>
          <w:rFonts w:ascii="Times New Roman" w:eastAsia="Calibri" w:hAnsi="Times New Roman" w:cs="Times New Roman"/>
          <w:sz w:val="24"/>
          <w:szCs w:val="24"/>
        </w:rPr>
        <w:t>78,3 процента.</w:t>
      </w:r>
    </w:p>
    <w:p w:rsidR="00195D98" w:rsidRPr="00664AF3" w:rsidRDefault="00195D98" w:rsidP="005B2272">
      <w:pPr>
        <w:spacing w:after="0" w:line="214" w:lineRule="auto"/>
        <w:ind w:firstLine="709"/>
        <w:jc w:val="both"/>
        <w:rPr>
          <w:rFonts w:ascii="Times New Roman" w:eastAsia="Calibri" w:hAnsi="Times New Roman" w:cs="Times New Roman"/>
          <w:sz w:val="24"/>
          <w:szCs w:val="24"/>
        </w:rPr>
      </w:pPr>
      <w:r w:rsidRPr="00664AF3">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99,6 процента. В рамках подпрограммы</w:t>
      </w:r>
      <w:r w:rsidRPr="00664AF3">
        <w:rPr>
          <w:rFonts w:ascii="Calibri" w:eastAsia="Calibri" w:hAnsi="Calibri" w:cs="Times New Roman"/>
          <w:sz w:val="24"/>
          <w:szCs w:val="24"/>
        </w:rPr>
        <w:t xml:space="preserve"> </w:t>
      </w:r>
      <w:r w:rsidRPr="00664AF3">
        <w:rPr>
          <w:rFonts w:ascii="Times New Roman" w:eastAsia="Calibri" w:hAnsi="Times New Roman" w:cs="Times New Roman"/>
          <w:sz w:val="24"/>
          <w:szCs w:val="24"/>
        </w:rPr>
        <w:t>осуществлялось финансирование расходов на обеспечение деятельности (оказание услуг) государственных учреждений.</w:t>
      </w:r>
    </w:p>
    <w:p w:rsidR="00195D98" w:rsidRPr="00A0334B" w:rsidRDefault="00195D98" w:rsidP="005B2272">
      <w:pPr>
        <w:widowControl w:val="0"/>
        <w:numPr>
          <w:ilvl w:val="0"/>
          <w:numId w:val="6"/>
        </w:numPr>
        <w:autoSpaceDE w:val="0"/>
        <w:autoSpaceDN w:val="0"/>
        <w:adjustRightInd w:val="0"/>
        <w:spacing w:after="0" w:line="214" w:lineRule="auto"/>
        <w:ind w:left="0" w:firstLine="709"/>
        <w:contextualSpacing/>
        <w:rPr>
          <w:rFonts w:ascii="Times New Roman" w:eastAsia="Times New Roman" w:hAnsi="Times New Roman" w:cs="Times New Roman"/>
          <w:i/>
          <w:sz w:val="24"/>
          <w:szCs w:val="24"/>
          <w:lang w:eastAsia="ru-RU"/>
        </w:rPr>
      </w:pPr>
      <w:r w:rsidRPr="00A0334B">
        <w:rPr>
          <w:rFonts w:ascii="Times New Roman" w:eastAsia="Times New Roman" w:hAnsi="Times New Roman" w:cs="Times New Roman"/>
          <w:i/>
          <w:sz w:val="24"/>
          <w:szCs w:val="24"/>
          <w:lang w:eastAsia="ru-RU"/>
        </w:rPr>
        <w:t>Подпрограмма «Развитие системы гражданской обороны, защиты населения и территорий от чрезвычайных ситуаций»</w:t>
      </w:r>
    </w:p>
    <w:p w:rsidR="00195D98" w:rsidRPr="00A0334B" w:rsidRDefault="00195D98" w:rsidP="005B2272">
      <w:pPr>
        <w:spacing w:after="0" w:line="214" w:lineRule="auto"/>
        <w:ind w:firstLine="709"/>
        <w:jc w:val="both"/>
        <w:rPr>
          <w:rFonts w:ascii="Times New Roman" w:eastAsia="Calibri" w:hAnsi="Times New Roman" w:cs="Times New Roman"/>
          <w:sz w:val="24"/>
          <w:szCs w:val="24"/>
        </w:rPr>
      </w:pPr>
      <w:r w:rsidRPr="00A0334B">
        <w:rPr>
          <w:rFonts w:ascii="Times New Roman" w:eastAsia="Calibri" w:hAnsi="Times New Roman" w:cs="Times New Roman"/>
          <w:sz w:val="24"/>
          <w:szCs w:val="24"/>
        </w:rPr>
        <w:t xml:space="preserve">Ассигнования областного бюджета по подпрограмме утверждены в расходах областного бюджета в сумме 178132,5 тыс. рублей. В общем объеме расходов государственной программы доля расходов по данной подпрограмме составляет </w:t>
      </w:r>
      <w:r>
        <w:rPr>
          <w:rFonts w:ascii="Times New Roman" w:eastAsia="Calibri" w:hAnsi="Times New Roman" w:cs="Times New Roman"/>
          <w:sz w:val="24"/>
          <w:szCs w:val="24"/>
        </w:rPr>
        <w:br/>
      </w:r>
      <w:r w:rsidRPr="00A0334B">
        <w:rPr>
          <w:rFonts w:ascii="Times New Roman" w:eastAsia="Calibri" w:hAnsi="Times New Roman" w:cs="Times New Roman"/>
          <w:sz w:val="24"/>
          <w:szCs w:val="24"/>
        </w:rPr>
        <w:t>21,6 процента.</w:t>
      </w:r>
    </w:p>
    <w:p w:rsidR="00195D98" w:rsidRPr="00A0334B" w:rsidRDefault="00195D98" w:rsidP="00195D98">
      <w:pPr>
        <w:spacing w:after="0" w:line="240" w:lineRule="auto"/>
        <w:ind w:firstLine="709"/>
        <w:jc w:val="both"/>
        <w:rPr>
          <w:rFonts w:ascii="Times New Roman" w:eastAsia="Calibri" w:hAnsi="Times New Roman" w:cs="Times New Roman"/>
          <w:sz w:val="24"/>
          <w:szCs w:val="24"/>
        </w:rPr>
      </w:pPr>
      <w:r w:rsidRPr="00A0334B">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92,7 процента.</w:t>
      </w:r>
    </w:p>
    <w:p w:rsidR="00195D98" w:rsidRPr="00A0334B" w:rsidRDefault="00195D98" w:rsidP="005B2272">
      <w:pPr>
        <w:autoSpaceDE w:val="0"/>
        <w:autoSpaceDN w:val="0"/>
        <w:adjustRightInd w:val="0"/>
        <w:spacing w:after="0" w:line="214" w:lineRule="auto"/>
        <w:ind w:firstLine="709"/>
        <w:jc w:val="both"/>
        <w:rPr>
          <w:rFonts w:ascii="Times New Roman" w:hAnsi="Times New Roman" w:cs="Times New Roman"/>
          <w:sz w:val="24"/>
          <w:szCs w:val="24"/>
        </w:rPr>
      </w:pPr>
      <w:r w:rsidRPr="00A0334B">
        <w:rPr>
          <w:rFonts w:ascii="Times New Roman" w:eastAsia="Calibri" w:hAnsi="Times New Roman" w:cs="Times New Roman"/>
          <w:sz w:val="24"/>
          <w:szCs w:val="24"/>
        </w:rPr>
        <w:t>Не полное освоение бюджетных ассигнований допущено по основному мероприятию «</w:t>
      </w:r>
      <w:r w:rsidRPr="00A0334B">
        <w:rPr>
          <w:rFonts w:ascii="Times New Roman" w:hAnsi="Times New Roman" w:cs="Times New Roman"/>
          <w:sz w:val="24"/>
          <w:szCs w:val="24"/>
        </w:rPr>
        <w:t xml:space="preserve">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 </w:t>
      </w:r>
      <w:r w:rsidRPr="00A0334B">
        <w:rPr>
          <w:rFonts w:ascii="Times New Roman" w:eastAsia="Calibri" w:hAnsi="Times New Roman" w:cs="Times New Roman"/>
          <w:sz w:val="24"/>
          <w:szCs w:val="24"/>
        </w:rPr>
        <w:t>в размере 40,2 процента к уточненной росписи (исполнение по мероприятию «</w:t>
      </w:r>
      <w:r w:rsidRPr="00A0334B">
        <w:rPr>
          <w:rFonts w:ascii="Times New Roman" w:hAnsi="Times New Roman" w:cs="Times New Roman"/>
          <w:sz w:val="24"/>
          <w:szCs w:val="24"/>
        </w:rPr>
        <w:t xml:space="preserve">Обеспечение деятельности (оказание услуг) государственных учреждений» составило 99,8 процента  к уточненной росписи, по мероприятию «Создание и функционирование центра для реализации системы обеспечения вызова экстренных оперативных служб по единому номеру «112» составило 88,4 процента к уточненной </w:t>
      </w:r>
      <w:r w:rsidRPr="00A0334B">
        <w:rPr>
          <w:rFonts w:ascii="Times New Roman" w:hAnsi="Times New Roman" w:cs="Times New Roman"/>
          <w:sz w:val="24"/>
          <w:szCs w:val="24"/>
        </w:rPr>
        <w:lastRenderedPageBreak/>
        <w:t xml:space="preserve">росписи и по мероприятию «Создание системы обеспечения вызова экстренных оперативных служб по единому номеру «112» в Российской Федерации на 2013-2017 годы» </w:t>
      </w:r>
      <w:r>
        <w:rPr>
          <w:rFonts w:ascii="Times New Roman" w:hAnsi="Times New Roman" w:cs="Times New Roman"/>
          <w:sz w:val="24"/>
          <w:szCs w:val="24"/>
        </w:rPr>
        <w:t>-</w:t>
      </w:r>
      <w:r>
        <w:rPr>
          <w:rFonts w:ascii="Times New Roman" w:hAnsi="Times New Roman" w:cs="Times New Roman"/>
          <w:sz w:val="24"/>
          <w:szCs w:val="24"/>
        </w:rPr>
        <w:br/>
      </w:r>
      <w:r w:rsidRPr="00A0334B">
        <w:rPr>
          <w:rFonts w:ascii="Times New Roman" w:hAnsi="Times New Roman" w:cs="Times New Roman"/>
          <w:sz w:val="24"/>
          <w:szCs w:val="24"/>
        </w:rPr>
        <w:t>97,3 процента к уточненной росписи).</w:t>
      </w:r>
    </w:p>
    <w:p w:rsidR="00195D98" w:rsidRPr="00DE31DF" w:rsidRDefault="00195D98" w:rsidP="005B2272">
      <w:pPr>
        <w:widowControl w:val="0"/>
        <w:numPr>
          <w:ilvl w:val="0"/>
          <w:numId w:val="6"/>
        </w:numPr>
        <w:autoSpaceDE w:val="0"/>
        <w:autoSpaceDN w:val="0"/>
        <w:adjustRightInd w:val="0"/>
        <w:spacing w:after="0" w:line="214" w:lineRule="auto"/>
        <w:ind w:left="0" w:firstLine="709"/>
        <w:contextualSpacing/>
        <w:rPr>
          <w:rFonts w:ascii="Times New Roman" w:eastAsia="Times New Roman" w:hAnsi="Times New Roman" w:cs="Times New Roman"/>
          <w:i/>
          <w:sz w:val="24"/>
          <w:szCs w:val="24"/>
          <w:lang w:eastAsia="ru-RU"/>
        </w:rPr>
      </w:pPr>
      <w:r w:rsidRPr="00DE31DF">
        <w:rPr>
          <w:rFonts w:ascii="Times New Roman" w:eastAsia="Times New Roman" w:hAnsi="Times New Roman" w:cs="Times New Roman"/>
          <w:i/>
          <w:sz w:val="24"/>
          <w:szCs w:val="24"/>
          <w:lang w:eastAsia="ru-RU"/>
        </w:rPr>
        <w:t>Подпрограмма «Профилактика правонарушений, профилактика  терроризма и экстремизма»</w:t>
      </w:r>
    </w:p>
    <w:p w:rsidR="00195D98" w:rsidRPr="00DE31DF" w:rsidRDefault="00195D98" w:rsidP="005B2272">
      <w:pPr>
        <w:spacing w:after="0" w:line="214" w:lineRule="auto"/>
        <w:ind w:firstLine="709"/>
        <w:jc w:val="both"/>
        <w:rPr>
          <w:rFonts w:ascii="Times New Roman" w:eastAsia="Calibri" w:hAnsi="Times New Roman" w:cs="Times New Roman"/>
          <w:sz w:val="24"/>
          <w:szCs w:val="24"/>
        </w:rPr>
      </w:pPr>
      <w:r w:rsidRPr="00DE31DF">
        <w:rPr>
          <w:rFonts w:ascii="Times New Roman" w:eastAsia="Calibri" w:hAnsi="Times New Roman" w:cs="Times New Roman"/>
          <w:sz w:val="24"/>
          <w:szCs w:val="24"/>
        </w:rPr>
        <w:t>Ассигнования областного бюджета по подпрограмме утверждены в расходах областного бюджета в сумме 782,5 тыс. рублей. В общем объеме расходов государственной программы доля расходов по данной подпрограмме составляет 0,1 процента.</w:t>
      </w:r>
      <w:r w:rsidR="00D20855">
        <w:rPr>
          <w:rFonts w:ascii="Times New Roman" w:eastAsia="Calibri" w:hAnsi="Times New Roman" w:cs="Times New Roman"/>
          <w:sz w:val="24"/>
          <w:szCs w:val="24"/>
        </w:rPr>
        <w:t xml:space="preserve"> </w:t>
      </w:r>
      <w:r w:rsidRPr="00DE31DF">
        <w:rPr>
          <w:rFonts w:ascii="Times New Roman" w:eastAsia="Calibri" w:hAnsi="Times New Roman" w:cs="Times New Roman"/>
          <w:sz w:val="24"/>
          <w:szCs w:val="24"/>
        </w:rPr>
        <w:t>Уровень исполнения расходов, предусмотренных на реализацию мероприятий подпрограммы, составил 95,3 процента.</w:t>
      </w:r>
    </w:p>
    <w:p w:rsidR="00195D98" w:rsidRPr="00CD6CBD" w:rsidRDefault="00195D98" w:rsidP="005B2272">
      <w:pPr>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CD6CBD">
        <w:rPr>
          <w:rFonts w:ascii="Times New Roman" w:eastAsia="Calibri" w:hAnsi="Times New Roman" w:cs="Times New Roman"/>
          <w:sz w:val="24"/>
          <w:szCs w:val="24"/>
        </w:rPr>
        <w:t>Согласно приложению 5 «Оценка эффективности государственных программ Амурской области в 2017 году» к с</w:t>
      </w:r>
      <w:r w:rsidRPr="00CD6CBD">
        <w:rPr>
          <w:rFonts w:ascii="Times New Roman" w:hAnsi="Times New Roman" w:cs="Times New Roman"/>
          <w:bCs/>
          <w:sz w:val="24"/>
          <w:szCs w:val="24"/>
        </w:rPr>
        <w:t xml:space="preserve">водному годовому докладу о ходе реализации и об оценке эффективности реализации государственных программ в 2017 году, государственная программа </w:t>
      </w:r>
      <w:r w:rsidRPr="00CD6CBD">
        <w:rPr>
          <w:rFonts w:ascii="Times New Roman" w:eastAsia="Times New Roman" w:hAnsi="Times New Roman" w:cs="Times New Roman"/>
          <w:sz w:val="24"/>
          <w:szCs w:val="24"/>
          <w:lang w:eastAsia="ru-RU"/>
        </w:rPr>
        <w:t xml:space="preserve">«Снижение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w:t>
      </w:r>
      <w:r w:rsidR="00BE701A">
        <w:rPr>
          <w:rFonts w:ascii="Times New Roman" w:eastAsia="Times New Roman" w:hAnsi="Times New Roman" w:cs="Times New Roman"/>
          <w:sz w:val="24"/>
          <w:szCs w:val="24"/>
          <w:lang w:eastAsia="ru-RU"/>
        </w:rPr>
        <w:br/>
      </w:r>
      <w:r w:rsidRPr="00CD6CBD">
        <w:rPr>
          <w:rFonts w:ascii="Times New Roman" w:eastAsia="Times New Roman" w:hAnsi="Times New Roman" w:cs="Times New Roman"/>
          <w:sz w:val="24"/>
          <w:szCs w:val="24"/>
          <w:lang w:eastAsia="ru-RU"/>
        </w:rPr>
        <w:t xml:space="preserve">2014–2020 годы» признана умеренно эффективной. По установленным показателям (индикаторам) эффективности подпрограмм государственной программы наблюдается  выполнение, а также перевыполнение показателей (индикаторов) эффективности. В тоже время, не достигнуты результаты мероприятий по уменьшению материальных потерь от пожаров </w:t>
      </w:r>
      <w:r w:rsidRPr="00CD6CBD">
        <w:rPr>
          <w:rFonts w:ascii="Times New Roman" w:hAnsi="Times New Roman" w:cs="Times New Roman"/>
          <w:bCs/>
          <w:sz w:val="24"/>
          <w:szCs w:val="24"/>
        </w:rPr>
        <w:t xml:space="preserve">(7 </w:t>
      </w:r>
      <w:r w:rsidR="00BE701A" w:rsidRPr="00DE31DF">
        <w:rPr>
          <w:rFonts w:ascii="Times New Roman" w:eastAsia="Calibri" w:hAnsi="Times New Roman" w:cs="Times New Roman"/>
          <w:sz w:val="24"/>
          <w:szCs w:val="24"/>
        </w:rPr>
        <w:t>процент</w:t>
      </w:r>
      <w:r w:rsidR="00BE701A">
        <w:rPr>
          <w:rFonts w:ascii="Times New Roman" w:eastAsia="Calibri" w:hAnsi="Times New Roman" w:cs="Times New Roman"/>
          <w:sz w:val="24"/>
          <w:szCs w:val="24"/>
        </w:rPr>
        <w:t>ов</w:t>
      </w:r>
      <w:r w:rsidR="00BE701A">
        <w:rPr>
          <w:rFonts w:ascii="Times New Roman" w:hAnsi="Times New Roman" w:cs="Times New Roman"/>
          <w:bCs/>
          <w:sz w:val="24"/>
          <w:szCs w:val="24"/>
        </w:rPr>
        <w:t xml:space="preserve"> вместо запланированных 8</w:t>
      </w:r>
      <w:r w:rsidRPr="00CD6CBD">
        <w:rPr>
          <w:rFonts w:ascii="Times New Roman" w:hAnsi="Times New Roman" w:cs="Times New Roman"/>
          <w:bCs/>
          <w:sz w:val="24"/>
          <w:szCs w:val="24"/>
        </w:rPr>
        <w:t xml:space="preserve">), снижению общего числа совершаемых преступлений (0,8 </w:t>
      </w:r>
      <w:r w:rsidR="00BE701A" w:rsidRPr="00DE31DF">
        <w:rPr>
          <w:rFonts w:ascii="Times New Roman" w:eastAsia="Calibri" w:hAnsi="Times New Roman" w:cs="Times New Roman"/>
          <w:sz w:val="24"/>
          <w:szCs w:val="24"/>
        </w:rPr>
        <w:t>процента</w:t>
      </w:r>
      <w:r w:rsidRPr="00CD6CBD">
        <w:rPr>
          <w:rFonts w:ascii="Times New Roman" w:hAnsi="Times New Roman" w:cs="Times New Roman"/>
          <w:bCs/>
          <w:sz w:val="24"/>
          <w:szCs w:val="24"/>
        </w:rPr>
        <w:t xml:space="preserve"> вместо запланированного 1 </w:t>
      </w:r>
      <w:r w:rsidR="00BE701A" w:rsidRPr="00DE31DF">
        <w:rPr>
          <w:rFonts w:ascii="Times New Roman" w:eastAsia="Calibri" w:hAnsi="Times New Roman" w:cs="Times New Roman"/>
          <w:sz w:val="24"/>
          <w:szCs w:val="24"/>
        </w:rPr>
        <w:t>процента</w:t>
      </w:r>
      <w:r w:rsidRPr="00CD6CBD">
        <w:rPr>
          <w:rFonts w:ascii="Times New Roman" w:hAnsi="Times New Roman" w:cs="Times New Roman"/>
          <w:bCs/>
          <w:sz w:val="24"/>
          <w:szCs w:val="24"/>
        </w:rPr>
        <w:t xml:space="preserve">) и снижению количества преступлений, совершенных в общественных местах, в том числе на улицах (0,6 </w:t>
      </w:r>
      <w:r w:rsidR="00BE701A" w:rsidRPr="00DE31DF">
        <w:rPr>
          <w:rFonts w:ascii="Times New Roman" w:eastAsia="Calibri" w:hAnsi="Times New Roman" w:cs="Times New Roman"/>
          <w:sz w:val="24"/>
          <w:szCs w:val="24"/>
        </w:rPr>
        <w:t>процента</w:t>
      </w:r>
      <w:r w:rsidRPr="00CD6CBD">
        <w:rPr>
          <w:rFonts w:ascii="Times New Roman" w:hAnsi="Times New Roman" w:cs="Times New Roman"/>
          <w:bCs/>
          <w:sz w:val="24"/>
          <w:szCs w:val="24"/>
        </w:rPr>
        <w:t xml:space="preserve"> вместо запланированного 1 </w:t>
      </w:r>
      <w:r w:rsidR="00BE701A" w:rsidRPr="00DE31DF">
        <w:rPr>
          <w:rFonts w:ascii="Times New Roman" w:eastAsia="Calibri" w:hAnsi="Times New Roman" w:cs="Times New Roman"/>
          <w:sz w:val="24"/>
          <w:szCs w:val="24"/>
        </w:rPr>
        <w:t>процента</w:t>
      </w:r>
      <w:r w:rsidRPr="00CD6CBD">
        <w:rPr>
          <w:rFonts w:ascii="Times New Roman" w:hAnsi="Times New Roman" w:cs="Times New Roman"/>
          <w:bCs/>
          <w:sz w:val="24"/>
          <w:szCs w:val="24"/>
        </w:rPr>
        <w:t>).</w:t>
      </w:r>
    </w:p>
    <w:p w:rsidR="00195D98" w:rsidRPr="00BE701A" w:rsidRDefault="00195D98" w:rsidP="005B2272">
      <w:pPr>
        <w:widowControl w:val="0"/>
        <w:autoSpaceDE w:val="0"/>
        <w:autoSpaceDN w:val="0"/>
        <w:adjustRightInd w:val="0"/>
        <w:spacing w:after="0" w:line="214" w:lineRule="auto"/>
        <w:ind w:firstLine="709"/>
        <w:jc w:val="both"/>
        <w:rPr>
          <w:rFonts w:ascii="Times New Roman" w:eastAsia="Times New Roman" w:hAnsi="Times New Roman" w:cs="Times New Roman"/>
          <w:sz w:val="24"/>
          <w:szCs w:val="24"/>
          <w:lang w:eastAsia="ru-RU"/>
        </w:rPr>
      </w:pPr>
      <w:r w:rsidRPr="00E713FC">
        <w:rPr>
          <w:rFonts w:ascii="Times New Roman" w:eastAsia="Times New Roman" w:hAnsi="Times New Roman" w:cs="Times New Roman"/>
          <w:sz w:val="24"/>
          <w:szCs w:val="24"/>
          <w:lang w:eastAsia="ru-RU"/>
        </w:rPr>
        <w:t xml:space="preserve">Основные направления расходов по государственной программе представлены на </w:t>
      </w:r>
      <w:r w:rsidRPr="00BE701A">
        <w:rPr>
          <w:rFonts w:ascii="Times New Roman" w:eastAsia="Times New Roman" w:hAnsi="Times New Roman" w:cs="Times New Roman"/>
          <w:sz w:val="24"/>
          <w:szCs w:val="24"/>
          <w:lang w:eastAsia="ru-RU"/>
        </w:rPr>
        <w:t>рисунке 3</w:t>
      </w:r>
      <w:r w:rsidR="00BE701A" w:rsidRPr="00BE701A">
        <w:rPr>
          <w:rFonts w:ascii="Times New Roman" w:eastAsia="Times New Roman" w:hAnsi="Times New Roman" w:cs="Times New Roman"/>
          <w:sz w:val="24"/>
          <w:szCs w:val="24"/>
          <w:lang w:eastAsia="ru-RU"/>
        </w:rPr>
        <w:t>1</w:t>
      </w:r>
      <w:r w:rsidRPr="00BE701A">
        <w:rPr>
          <w:rFonts w:ascii="Times New Roman" w:eastAsia="Times New Roman" w:hAnsi="Times New Roman" w:cs="Times New Roman"/>
          <w:sz w:val="24"/>
          <w:szCs w:val="24"/>
          <w:lang w:eastAsia="ru-RU"/>
        </w:rPr>
        <w:t>.</w:t>
      </w:r>
    </w:p>
    <w:p w:rsidR="00195D98" w:rsidRDefault="00195D98" w:rsidP="004D1C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14:anchorId="575466E4" wp14:editId="5BFC0C5F">
            <wp:extent cx="6228272" cy="3735238"/>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05084" w:rsidRPr="004D1C64" w:rsidRDefault="00F05084" w:rsidP="004D1C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5D98" w:rsidRPr="00F05084" w:rsidRDefault="00195D98" w:rsidP="00195D98">
      <w:pPr>
        <w:spacing w:after="0" w:line="240" w:lineRule="auto"/>
        <w:ind w:firstLine="709"/>
        <w:jc w:val="center"/>
        <w:rPr>
          <w:rFonts w:ascii="Times New Roman" w:eastAsia="Calibri" w:hAnsi="Times New Roman" w:cs="Times New Roman"/>
          <w:b/>
          <w:noProof/>
          <w:lang w:eastAsia="ru-RU"/>
        </w:rPr>
      </w:pPr>
      <w:r w:rsidRPr="00F05084">
        <w:rPr>
          <w:rFonts w:ascii="Times New Roman" w:eastAsia="Calibri" w:hAnsi="Times New Roman" w:cs="Times New Roman"/>
          <w:b/>
          <w:noProof/>
          <w:lang w:eastAsia="ru-RU"/>
        </w:rPr>
        <w:t>Рис. 3</w:t>
      </w:r>
      <w:r w:rsidR="00BE701A" w:rsidRPr="00F05084">
        <w:rPr>
          <w:rFonts w:ascii="Times New Roman" w:eastAsia="Calibri" w:hAnsi="Times New Roman" w:cs="Times New Roman"/>
          <w:b/>
          <w:noProof/>
          <w:lang w:eastAsia="ru-RU"/>
        </w:rPr>
        <w:t>1</w:t>
      </w:r>
      <w:r w:rsidRPr="00F05084">
        <w:rPr>
          <w:rFonts w:ascii="Times New Roman" w:eastAsia="Calibri" w:hAnsi="Times New Roman" w:cs="Times New Roman"/>
          <w:b/>
          <w:noProof/>
          <w:lang w:eastAsia="ru-RU"/>
        </w:rPr>
        <w:t xml:space="preserve"> – Основные направления расходов по государственной программе </w:t>
      </w:r>
      <w:r w:rsidRPr="00F05084">
        <w:rPr>
          <w:rFonts w:ascii="Times New Roman" w:eastAsia="Times New Roman" w:hAnsi="Times New Roman" w:cs="Times New Roman"/>
          <w:b/>
          <w:color w:val="000000"/>
          <w:lang w:eastAsia="ru-RU"/>
        </w:rPr>
        <w:t>«</w:t>
      </w:r>
      <w:r w:rsidRPr="00F05084">
        <w:rPr>
          <w:rFonts w:ascii="Times New Roman" w:eastAsia="Calibri" w:hAnsi="Times New Roman" w:cs="Times New Roman"/>
          <w:b/>
          <w:bCs/>
        </w:rPr>
        <w:t>Снижение рисков и смягчение последствий чрезвычайных ситуаций природного и</w:t>
      </w:r>
      <w:r w:rsidRPr="00A75FEF">
        <w:rPr>
          <w:rFonts w:ascii="Times New Roman" w:eastAsia="Calibri" w:hAnsi="Times New Roman" w:cs="Times New Roman"/>
          <w:b/>
          <w:bCs/>
          <w:sz w:val="24"/>
          <w:szCs w:val="24"/>
        </w:rPr>
        <w:t xml:space="preserve"> </w:t>
      </w:r>
      <w:r w:rsidRPr="00F05084">
        <w:rPr>
          <w:rFonts w:ascii="Times New Roman" w:eastAsia="Calibri" w:hAnsi="Times New Roman" w:cs="Times New Roman"/>
          <w:b/>
          <w:bCs/>
        </w:rPr>
        <w:t xml:space="preserve">техногенного характера, а также обеспечение безопасности населения области на </w:t>
      </w:r>
      <w:r w:rsidRPr="00F05084">
        <w:rPr>
          <w:rFonts w:ascii="Times New Roman" w:eastAsia="Calibri" w:hAnsi="Times New Roman" w:cs="Times New Roman"/>
          <w:b/>
          <w:bCs/>
        </w:rPr>
        <w:br/>
        <w:t>2014-2020 годы»</w:t>
      </w:r>
      <w:r w:rsidRPr="00F05084">
        <w:rPr>
          <w:rFonts w:ascii="Times New Roman" w:eastAsia="Calibri" w:hAnsi="Times New Roman" w:cs="Times New Roman"/>
          <w:b/>
          <w:noProof/>
          <w:lang w:eastAsia="ru-RU"/>
        </w:rPr>
        <w:t xml:space="preserve"> в 2017 году, млн. руб.</w:t>
      </w:r>
    </w:p>
    <w:p w:rsidR="00DC0BAB" w:rsidRDefault="00DC0BAB" w:rsidP="009C45F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BE701A" w:rsidRPr="00BE701A" w:rsidRDefault="00BE701A" w:rsidP="00BE701A">
      <w:pPr>
        <w:spacing w:after="0" w:line="240" w:lineRule="auto"/>
        <w:ind w:firstLine="709"/>
        <w:jc w:val="both"/>
        <w:rPr>
          <w:rFonts w:ascii="Times New Roman" w:hAnsi="Times New Roman" w:cs="Times New Roman"/>
          <w:b/>
          <w:sz w:val="24"/>
          <w:szCs w:val="24"/>
        </w:rPr>
      </w:pPr>
      <w:r w:rsidRPr="002B79B2">
        <w:rPr>
          <w:rFonts w:ascii="Times New Roman" w:hAnsi="Times New Roman" w:cs="Times New Roman"/>
          <w:b/>
          <w:sz w:val="24"/>
          <w:szCs w:val="24"/>
        </w:rPr>
        <w:t>5.12. Госу</w:t>
      </w:r>
      <w:r w:rsidRPr="00BE701A">
        <w:rPr>
          <w:rFonts w:ascii="Times New Roman" w:hAnsi="Times New Roman" w:cs="Times New Roman"/>
          <w:b/>
          <w:sz w:val="24"/>
          <w:szCs w:val="24"/>
        </w:rPr>
        <w:t>дарственная программа «Развитие образования Амурской области на 2014–2020 годы»</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 xml:space="preserve">Государственная программа «Развитие образования Амурской области на </w:t>
      </w:r>
      <w:r w:rsidRPr="00BE701A">
        <w:rPr>
          <w:rFonts w:ascii="Times New Roman" w:eastAsia="Times New Roman" w:hAnsi="Times New Roman" w:cs="Times New Roman"/>
          <w:sz w:val="24"/>
          <w:szCs w:val="24"/>
          <w:lang w:eastAsia="ru-RU"/>
        </w:rPr>
        <w:br/>
        <w:t xml:space="preserve">2014–2020 годы» утверждена постановлением Правительства Амурской области от </w:t>
      </w:r>
      <w:r w:rsidRPr="00BE701A">
        <w:rPr>
          <w:rFonts w:ascii="Times New Roman" w:eastAsia="Times New Roman" w:hAnsi="Times New Roman" w:cs="Times New Roman"/>
          <w:sz w:val="24"/>
          <w:szCs w:val="24"/>
          <w:lang w:eastAsia="ru-RU"/>
        </w:rPr>
        <w:lastRenderedPageBreak/>
        <w:t>25.09.2013 № 448 с объемом ассигнований на 2017 год в сумме 8545768,9 тыс. рублей, в том числе</w:t>
      </w:r>
      <w:r>
        <w:rPr>
          <w:rFonts w:ascii="Times New Roman" w:eastAsia="Times New Roman" w:hAnsi="Times New Roman" w:cs="Times New Roman"/>
          <w:sz w:val="24"/>
          <w:szCs w:val="24"/>
          <w:lang w:eastAsia="ru-RU"/>
        </w:rPr>
        <w:t xml:space="preserve"> </w:t>
      </w:r>
      <w:r w:rsidRPr="00BE701A">
        <w:rPr>
          <w:rFonts w:ascii="Times New Roman" w:eastAsia="Times New Roman" w:hAnsi="Times New Roman" w:cs="Times New Roman"/>
          <w:sz w:val="24"/>
          <w:szCs w:val="24"/>
          <w:lang w:eastAsia="ru-RU"/>
        </w:rPr>
        <w:t>за счет средств областного бюджета в сумме 8522715,4тыс. рублей</w:t>
      </w:r>
      <w:r>
        <w:rPr>
          <w:rFonts w:ascii="Times New Roman" w:eastAsia="Times New Roman" w:hAnsi="Times New Roman" w:cs="Times New Roman"/>
          <w:sz w:val="24"/>
          <w:szCs w:val="24"/>
          <w:lang w:eastAsia="ru-RU"/>
        </w:rPr>
        <w:t xml:space="preserve">, </w:t>
      </w:r>
      <w:r w:rsidRPr="00BE701A">
        <w:rPr>
          <w:rFonts w:ascii="Times New Roman" w:eastAsia="Times New Roman" w:hAnsi="Times New Roman" w:cs="Times New Roman"/>
          <w:sz w:val="24"/>
          <w:szCs w:val="24"/>
          <w:lang w:eastAsia="ru-RU"/>
        </w:rPr>
        <w:t>за счет средств федерального бюджета в сумме 23053,5 тыс. рублей.</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Координатором государственной программы является министерство образования и науки Амурской области.</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Законом Амурской области «Об областном бюджете на 2017 год и плановый период 2018 и 2019 годов» на реализацию государственной программы «Развитие образования Амурской области на 2014–2020 годы» в 2017 году утверждены бюджетные ассигнования в сумме 8545768,9 тыс. рублей, что соответствует аналогичному показателю, предусмотренному государственной программой.</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Сводной бюджетной росписью расходов областного бюджета на 2017 год на реализацию программы предусмотрено 8545761,4 тыс. рублей.</w:t>
      </w:r>
      <w:r w:rsidRPr="00BE701A">
        <w:rPr>
          <w:rFonts w:ascii="Times New Roman" w:eastAsia="Times New Roman" w:hAnsi="Times New Roman" w:cs="Times New Roman"/>
          <w:color w:val="4F81BD" w:themeColor="accent1"/>
          <w:sz w:val="24"/>
          <w:szCs w:val="24"/>
          <w:lang w:eastAsia="ru-RU"/>
        </w:rPr>
        <w:t xml:space="preserve"> </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 xml:space="preserve">Отклонение показателей сводной бюджетной росписи расходов от плановых показателей, утвержденных законом области об областном бюджете и государственной программой, в сторону уменьшения составляет 7,5 тыс. рублей. </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 xml:space="preserve">Согласно информации, представленной министерством здравоохранения Амурской области, произведено уменьшение ассигнований в сумме 7,5 тыс. рублей по мероприятиям по проведению оздоровительной кампании детей в связи с наличием экономии по результатам конкурсных процедур. Данная сумма направлена на увеличение ассигнований для оплаты исполнительного листа. </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Изменение бюджетной росписи расходов без внесения изменений в закон области об областном бюджете произведено по основаниям, установленным абз. 4 п. 3 ст. 217 Бюджетного кодекса Российской Федерации.</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 xml:space="preserve">Исполнение бюджетных назначений, предусмотренных на реализацию программы сводной бюджетной росписью расходов, составило 8539710,3 тыс. рублей, или </w:t>
      </w:r>
      <w:r w:rsidRPr="00BE701A">
        <w:rPr>
          <w:rFonts w:ascii="Times New Roman" w:eastAsia="Times New Roman" w:hAnsi="Times New Roman" w:cs="Times New Roman"/>
          <w:sz w:val="24"/>
          <w:szCs w:val="24"/>
          <w:lang w:eastAsia="ru-RU"/>
        </w:rPr>
        <w:br/>
        <w:t>99,9 процента (объем неисполненных ассигнований составил 6050,9 тыс. рублей).</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Удельный вес государственной программы в общем объеме расходов областного бюджета на 2017 год составляет 18,5 процента.</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 xml:space="preserve">Государственная программа «Развитие образования Амурской области на </w:t>
      </w:r>
      <w:r w:rsidRPr="00BE701A">
        <w:rPr>
          <w:rFonts w:ascii="Times New Roman" w:eastAsia="Times New Roman" w:hAnsi="Times New Roman" w:cs="Times New Roman"/>
          <w:sz w:val="24"/>
          <w:szCs w:val="24"/>
          <w:lang w:eastAsia="ru-RU"/>
        </w:rPr>
        <w:br/>
        <w:t>2014–2020 годы» включает 5 подпрограмм.</w:t>
      </w:r>
    </w:p>
    <w:p w:rsidR="00BE701A" w:rsidRPr="00BE701A" w:rsidRDefault="00BE701A" w:rsidP="00BE70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В таблице</w:t>
      </w:r>
      <w:r>
        <w:rPr>
          <w:rFonts w:ascii="Times New Roman" w:eastAsia="Times New Roman" w:hAnsi="Times New Roman" w:cs="Times New Roman"/>
          <w:sz w:val="24"/>
          <w:szCs w:val="24"/>
          <w:lang w:eastAsia="ru-RU"/>
        </w:rPr>
        <w:t xml:space="preserve"> 15</w:t>
      </w:r>
      <w:r w:rsidRPr="00BE701A">
        <w:rPr>
          <w:rFonts w:ascii="Times New Roman" w:eastAsia="Times New Roman" w:hAnsi="Times New Roman" w:cs="Times New Roman"/>
          <w:sz w:val="24"/>
          <w:szCs w:val="24"/>
          <w:lang w:eastAsia="ru-RU"/>
        </w:rPr>
        <w:t xml:space="preserve"> представлена информация об исполнении в 2017 году государственной программы «Развитие образования Амурской области на 2014–2020 годы» в разрезе подпрограмм.</w:t>
      </w:r>
    </w:p>
    <w:p w:rsidR="00BE701A" w:rsidRPr="00BE701A" w:rsidRDefault="00BE701A" w:rsidP="00BE701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E701A">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15</w:t>
      </w:r>
    </w:p>
    <w:p w:rsidR="00BE701A" w:rsidRPr="00211ABD" w:rsidRDefault="00BE701A" w:rsidP="00BE70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11ABD">
        <w:rPr>
          <w:rFonts w:ascii="Times New Roman" w:eastAsia="Times New Roman" w:hAnsi="Times New Roman" w:cs="Times New Roman"/>
          <w:b/>
          <w:sz w:val="24"/>
          <w:szCs w:val="24"/>
          <w:lang w:eastAsia="ru-RU"/>
        </w:rPr>
        <w:t>Информация об исполнении государственной программы «Развитие образования Амурской области на 2014–2020 годы»</w:t>
      </w:r>
    </w:p>
    <w:p w:rsidR="00D20855" w:rsidRPr="00D20855" w:rsidRDefault="00D20855" w:rsidP="00D20855">
      <w:pPr>
        <w:pStyle w:val="afa"/>
        <w:numPr>
          <w:ilvl w:val="0"/>
          <w:numId w:val="6"/>
        </w:numPr>
        <w:spacing w:before="120"/>
        <w:jc w:val="right"/>
        <w:rPr>
          <w:sz w:val="24"/>
          <w:szCs w:val="24"/>
        </w:rPr>
      </w:pPr>
      <w:r w:rsidRPr="00D20855">
        <w:rPr>
          <w:sz w:val="24"/>
          <w:szCs w:val="24"/>
        </w:rPr>
        <w:t>тыс. рублей</w:t>
      </w:r>
    </w:p>
    <w:tbl>
      <w:tblPr>
        <w:tblStyle w:val="a6"/>
        <w:tblW w:w="9419" w:type="dxa"/>
        <w:tblLook w:val="04A0" w:firstRow="1" w:lastRow="0" w:firstColumn="1" w:lastColumn="0" w:noHBand="0" w:noVBand="1"/>
      </w:tblPr>
      <w:tblGrid>
        <w:gridCol w:w="4223"/>
        <w:gridCol w:w="1338"/>
        <w:gridCol w:w="1497"/>
        <w:gridCol w:w="1058"/>
        <w:gridCol w:w="1303"/>
      </w:tblGrid>
      <w:tr w:rsidR="00D20855" w:rsidRPr="00EA057A" w:rsidTr="000F3D18">
        <w:trPr>
          <w:trHeight w:val="824"/>
          <w:tblHeader/>
        </w:trPr>
        <w:tc>
          <w:tcPr>
            <w:tcW w:w="4223" w:type="dxa"/>
            <w:vAlign w:val="center"/>
          </w:tcPr>
          <w:p w:rsidR="00D20855" w:rsidRPr="00DC7DA2" w:rsidRDefault="00D20855" w:rsidP="000F3D18">
            <w:pPr>
              <w:widowControl w:val="0"/>
              <w:autoSpaceDE w:val="0"/>
              <w:autoSpaceDN w:val="0"/>
              <w:adjustRightInd w:val="0"/>
              <w:jc w:val="center"/>
              <w:rPr>
                <w:bCs/>
                <w:sz w:val="22"/>
                <w:szCs w:val="22"/>
              </w:rPr>
            </w:pPr>
            <w:r w:rsidRPr="00DC7DA2">
              <w:rPr>
                <w:bCs/>
                <w:sz w:val="22"/>
                <w:szCs w:val="22"/>
              </w:rPr>
              <w:t>Наименование государственной программы/подпрограммы</w:t>
            </w:r>
          </w:p>
        </w:tc>
        <w:tc>
          <w:tcPr>
            <w:tcW w:w="1338" w:type="dxa"/>
            <w:noWrap/>
            <w:vAlign w:val="center"/>
          </w:tcPr>
          <w:p w:rsidR="00D20855" w:rsidRPr="00DC7DA2" w:rsidRDefault="00D20855" w:rsidP="000F3D18">
            <w:pPr>
              <w:widowControl w:val="0"/>
              <w:autoSpaceDE w:val="0"/>
              <w:autoSpaceDN w:val="0"/>
              <w:adjustRightInd w:val="0"/>
              <w:jc w:val="center"/>
              <w:rPr>
                <w:bCs/>
                <w:sz w:val="22"/>
                <w:szCs w:val="22"/>
              </w:rPr>
            </w:pPr>
            <w:r w:rsidRPr="00DC7DA2">
              <w:rPr>
                <w:bCs/>
                <w:sz w:val="22"/>
                <w:szCs w:val="22"/>
              </w:rPr>
              <w:t>План</w:t>
            </w:r>
          </w:p>
        </w:tc>
        <w:tc>
          <w:tcPr>
            <w:tcW w:w="1497" w:type="dxa"/>
            <w:noWrap/>
            <w:vAlign w:val="center"/>
          </w:tcPr>
          <w:p w:rsidR="00D20855" w:rsidRPr="00DC7DA2" w:rsidRDefault="00D20855" w:rsidP="000F3D18">
            <w:pPr>
              <w:widowControl w:val="0"/>
              <w:autoSpaceDE w:val="0"/>
              <w:autoSpaceDN w:val="0"/>
              <w:adjustRightInd w:val="0"/>
              <w:jc w:val="center"/>
              <w:rPr>
                <w:bCs/>
                <w:sz w:val="22"/>
                <w:szCs w:val="22"/>
              </w:rPr>
            </w:pPr>
            <w:r w:rsidRPr="00DC7DA2">
              <w:rPr>
                <w:bCs/>
                <w:sz w:val="22"/>
                <w:szCs w:val="22"/>
              </w:rPr>
              <w:t>Исполнение</w:t>
            </w:r>
          </w:p>
        </w:tc>
        <w:tc>
          <w:tcPr>
            <w:tcW w:w="1058" w:type="dxa"/>
            <w:noWrap/>
            <w:vAlign w:val="center"/>
          </w:tcPr>
          <w:p w:rsidR="00D20855" w:rsidRPr="00DC7DA2" w:rsidRDefault="00D20855" w:rsidP="000F3D18">
            <w:pPr>
              <w:widowControl w:val="0"/>
              <w:autoSpaceDE w:val="0"/>
              <w:autoSpaceDN w:val="0"/>
              <w:adjustRightInd w:val="0"/>
              <w:jc w:val="center"/>
              <w:rPr>
                <w:bCs/>
                <w:sz w:val="22"/>
                <w:szCs w:val="22"/>
              </w:rPr>
            </w:pPr>
            <w:r w:rsidRPr="00DC7DA2">
              <w:rPr>
                <w:bCs/>
                <w:sz w:val="22"/>
                <w:szCs w:val="22"/>
              </w:rPr>
              <w:t>Уровень исполне-ния</w:t>
            </w:r>
            <w:r>
              <w:rPr>
                <w:bCs/>
                <w:sz w:val="22"/>
                <w:szCs w:val="22"/>
              </w:rPr>
              <w:t>, %</w:t>
            </w:r>
          </w:p>
        </w:tc>
        <w:tc>
          <w:tcPr>
            <w:tcW w:w="1303" w:type="dxa"/>
            <w:noWrap/>
            <w:vAlign w:val="center"/>
          </w:tcPr>
          <w:p w:rsidR="00D20855" w:rsidRPr="00DC7DA2" w:rsidRDefault="00D20855" w:rsidP="000F3D18">
            <w:pPr>
              <w:widowControl w:val="0"/>
              <w:autoSpaceDE w:val="0"/>
              <w:autoSpaceDN w:val="0"/>
              <w:adjustRightInd w:val="0"/>
              <w:jc w:val="center"/>
              <w:rPr>
                <w:bCs/>
                <w:sz w:val="22"/>
                <w:szCs w:val="22"/>
              </w:rPr>
            </w:pPr>
            <w:r w:rsidRPr="00DC7DA2">
              <w:rPr>
                <w:bCs/>
                <w:sz w:val="22"/>
                <w:szCs w:val="22"/>
              </w:rPr>
              <w:t>Не исполнено</w:t>
            </w:r>
          </w:p>
        </w:tc>
      </w:tr>
      <w:tr w:rsidR="00D20855" w:rsidRPr="00EA057A" w:rsidTr="000F3D18">
        <w:trPr>
          <w:trHeight w:val="711"/>
        </w:trPr>
        <w:tc>
          <w:tcPr>
            <w:tcW w:w="4223" w:type="dxa"/>
            <w:hideMark/>
          </w:tcPr>
          <w:p w:rsidR="00D20855" w:rsidRPr="008806FB" w:rsidRDefault="00D20855" w:rsidP="000F3D18">
            <w:pPr>
              <w:rPr>
                <w:b/>
                <w:sz w:val="22"/>
                <w:szCs w:val="22"/>
              </w:rPr>
            </w:pPr>
            <w:r w:rsidRPr="008806FB">
              <w:rPr>
                <w:b/>
                <w:sz w:val="22"/>
                <w:szCs w:val="22"/>
              </w:rPr>
              <w:t>Государственная программа «Развитие образования Амурской области на 2014 – 2020 годы»</w:t>
            </w:r>
          </w:p>
        </w:tc>
        <w:tc>
          <w:tcPr>
            <w:tcW w:w="1338" w:type="dxa"/>
            <w:noWrap/>
          </w:tcPr>
          <w:p w:rsidR="00D20855" w:rsidRPr="008806FB" w:rsidRDefault="00D20855" w:rsidP="000F3D18">
            <w:pPr>
              <w:jc w:val="right"/>
              <w:rPr>
                <w:b/>
                <w:sz w:val="22"/>
                <w:szCs w:val="22"/>
              </w:rPr>
            </w:pPr>
            <w:r w:rsidRPr="008806FB">
              <w:rPr>
                <w:b/>
                <w:sz w:val="22"/>
                <w:szCs w:val="22"/>
              </w:rPr>
              <w:t>8 545 761,4</w:t>
            </w:r>
          </w:p>
        </w:tc>
        <w:tc>
          <w:tcPr>
            <w:tcW w:w="1497" w:type="dxa"/>
            <w:noWrap/>
          </w:tcPr>
          <w:p w:rsidR="00D20855" w:rsidRPr="008806FB" w:rsidRDefault="00D20855" w:rsidP="000F3D18">
            <w:pPr>
              <w:jc w:val="right"/>
              <w:rPr>
                <w:b/>
                <w:sz w:val="22"/>
                <w:szCs w:val="22"/>
              </w:rPr>
            </w:pPr>
            <w:r>
              <w:rPr>
                <w:b/>
                <w:sz w:val="22"/>
                <w:szCs w:val="22"/>
              </w:rPr>
              <w:t>8 539 710,4</w:t>
            </w:r>
          </w:p>
        </w:tc>
        <w:tc>
          <w:tcPr>
            <w:tcW w:w="1058" w:type="dxa"/>
            <w:noWrap/>
          </w:tcPr>
          <w:p w:rsidR="00D20855" w:rsidRPr="008806FB" w:rsidRDefault="00D20855" w:rsidP="000F3D18">
            <w:pPr>
              <w:jc w:val="right"/>
              <w:rPr>
                <w:b/>
                <w:sz w:val="22"/>
                <w:szCs w:val="22"/>
              </w:rPr>
            </w:pPr>
            <w:r w:rsidRPr="008806FB">
              <w:rPr>
                <w:b/>
                <w:sz w:val="22"/>
                <w:szCs w:val="22"/>
              </w:rPr>
              <w:t>99,9</w:t>
            </w:r>
          </w:p>
        </w:tc>
        <w:tc>
          <w:tcPr>
            <w:tcW w:w="1303" w:type="dxa"/>
            <w:noWrap/>
          </w:tcPr>
          <w:p w:rsidR="00D20855" w:rsidRPr="008806FB" w:rsidRDefault="00D20855" w:rsidP="000F3D18">
            <w:pPr>
              <w:jc w:val="right"/>
              <w:rPr>
                <w:b/>
                <w:sz w:val="22"/>
                <w:szCs w:val="22"/>
              </w:rPr>
            </w:pPr>
            <w:r w:rsidRPr="008806FB">
              <w:rPr>
                <w:b/>
                <w:sz w:val="22"/>
                <w:szCs w:val="22"/>
              </w:rPr>
              <w:t>6 05</w:t>
            </w:r>
            <w:r>
              <w:rPr>
                <w:b/>
                <w:sz w:val="22"/>
                <w:szCs w:val="22"/>
              </w:rPr>
              <w:t>1</w:t>
            </w:r>
            <w:r w:rsidRPr="008806FB">
              <w:rPr>
                <w:b/>
                <w:sz w:val="22"/>
                <w:szCs w:val="22"/>
              </w:rPr>
              <w:t>,</w:t>
            </w:r>
            <w:r>
              <w:rPr>
                <w:b/>
                <w:sz w:val="22"/>
                <w:szCs w:val="22"/>
              </w:rPr>
              <w:t>0</w:t>
            </w:r>
          </w:p>
        </w:tc>
      </w:tr>
      <w:tr w:rsidR="00D20855" w:rsidRPr="00EA057A" w:rsidTr="000F3D18">
        <w:trPr>
          <w:trHeight w:val="523"/>
        </w:trPr>
        <w:tc>
          <w:tcPr>
            <w:tcW w:w="4223" w:type="dxa"/>
            <w:hideMark/>
          </w:tcPr>
          <w:p w:rsidR="00D20855" w:rsidRPr="008806FB" w:rsidRDefault="00D20855" w:rsidP="000F3D18">
            <w:pPr>
              <w:rPr>
                <w:sz w:val="22"/>
                <w:szCs w:val="22"/>
              </w:rPr>
            </w:pPr>
            <w:r w:rsidRPr="008806FB">
              <w:rPr>
                <w:sz w:val="22"/>
                <w:szCs w:val="22"/>
              </w:rPr>
              <w:t>Подпрограмма «Развитие профессионального образования»</w:t>
            </w:r>
          </w:p>
        </w:tc>
        <w:tc>
          <w:tcPr>
            <w:tcW w:w="1338" w:type="dxa"/>
            <w:noWrap/>
          </w:tcPr>
          <w:p w:rsidR="00D20855" w:rsidRPr="008806FB" w:rsidRDefault="00D20855" w:rsidP="000F3D18">
            <w:pPr>
              <w:jc w:val="right"/>
              <w:rPr>
                <w:sz w:val="22"/>
                <w:szCs w:val="22"/>
              </w:rPr>
            </w:pPr>
            <w:r w:rsidRPr="008806FB">
              <w:rPr>
                <w:sz w:val="22"/>
                <w:szCs w:val="22"/>
              </w:rPr>
              <w:t>1 145 259,4</w:t>
            </w:r>
          </w:p>
        </w:tc>
        <w:tc>
          <w:tcPr>
            <w:tcW w:w="1497" w:type="dxa"/>
            <w:noWrap/>
          </w:tcPr>
          <w:p w:rsidR="00D20855" w:rsidRPr="008806FB" w:rsidRDefault="00D20855" w:rsidP="000F3D18">
            <w:pPr>
              <w:jc w:val="right"/>
              <w:rPr>
                <w:sz w:val="22"/>
                <w:szCs w:val="22"/>
              </w:rPr>
            </w:pPr>
            <w:r w:rsidRPr="008806FB">
              <w:rPr>
                <w:sz w:val="22"/>
                <w:szCs w:val="22"/>
              </w:rPr>
              <w:t>1 145 17</w:t>
            </w:r>
            <w:r>
              <w:rPr>
                <w:sz w:val="22"/>
                <w:szCs w:val="22"/>
              </w:rPr>
              <w:t>1</w:t>
            </w:r>
            <w:r w:rsidRPr="008806FB">
              <w:rPr>
                <w:sz w:val="22"/>
                <w:szCs w:val="22"/>
              </w:rPr>
              <w:t>,</w:t>
            </w:r>
            <w:r>
              <w:rPr>
                <w:sz w:val="22"/>
                <w:szCs w:val="22"/>
              </w:rPr>
              <w:t>9</w:t>
            </w:r>
          </w:p>
        </w:tc>
        <w:tc>
          <w:tcPr>
            <w:tcW w:w="1058" w:type="dxa"/>
            <w:noWrap/>
          </w:tcPr>
          <w:p w:rsidR="00D20855" w:rsidRPr="008806FB" w:rsidRDefault="00D20855" w:rsidP="000F3D18">
            <w:pPr>
              <w:jc w:val="right"/>
              <w:rPr>
                <w:sz w:val="22"/>
                <w:szCs w:val="22"/>
              </w:rPr>
            </w:pPr>
            <w:r>
              <w:rPr>
                <w:sz w:val="22"/>
                <w:szCs w:val="22"/>
              </w:rPr>
              <w:t>99,99</w:t>
            </w:r>
          </w:p>
        </w:tc>
        <w:tc>
          <w:tcPr>
            <w:tcW w:w="1303" w:type="dxa"/>
            <w:noWrap/>
          </w:tcPr>
          <w:p w:rsidR="00D20855" w:rsidRPr="008806FB" w:rsidRDefault="00D20855" w:rsidP="000F3D18">
            <w:pPr>
              <w:jc w:val="right"/>
              <w:rPr>
                <w:sz w:val="22"/>
                <w:szCs w:val="22"/>
              </w:rPr>
            </w:pPr>
            <w:r w:rsidRPr="008806FB">
              <w:rPr>
                <w:sz w:val="22"/>
                <w:szCs w:val="22"/>
              </w:rPr>
              <w:t>87,</w:t>
            </w:r>
            <w:r>
              <w:rPr>
                <w:sz w:val="22"/>
                <w:szCs w:val="22"/>
              </w:rPr>
              <w:t>5</w:t>
            </w:r>
          </w:p>
        </w:tc>
      </w:tr>
      <w:tr w:rsidR="00D20855" w:rsidRPr="00EA057A" w:rsidTr="000F3D18">
        <w:trPr>
          <w:trHeight w:val="675"/>
        </w:trPr>
        <w:tc>
          <w:tcPr>
            <w:tcW w:w="4223" w:type="dxa"/>
            <w:hideMark/>
          </w:tcPr>
          <w:p w:rsidR="00D20855" w:rsidRPr="008806FB" w:rsidRDefault="00D20855" w:rsidP="000F3D18">
            <w:pPr>
              <w:rPr>
                <w:sz w:val="22"/>
                <w:szCs w:val="22"/>
              </w:rPr>
            </w:pPr>
            <w:r w:rsidRPr="008806FB">
              <w:rPr>
                <w:sz w:val="22"/>
                <w:szCs w:val="22"/>
              </w:rPr>
              <w:t>Подпрограмма «Развитие дошкольного, общего и дополнительного образования детей»</w:t>
            </w:r>
          </w:p>
        </w:tc>
        <w:tc>
          <w:tcPr>
            <w:tcW w:w="1338" w:type="dxa"/>
            <w:noWrap/>
          </w:tcPr>
          <w:p w:rsidR="00D20855" w:rsidRPr="008806FB" w:rsidRDefault="00D20855" w:rsidP="000F3D18">
            <w:pPr>
              <w:jc w:val="right"/>
              <w:rPr>
                <w:sz w:val="22"/>
                <w:szCs w:val="22"/>
              </w:rPr>
            </w:pPr>
            <w:r w:rsidRPr="008806FB">
              <w:rPr>
                <w:sz w:val="22"/>
                <w:szCs w:val="22"/>
              </w:rPr>
              <w:t>6 834 946,7</w:t>
            </w:r>
          </w:p>
        </w:tc>
        <w:tc>
          <w:tcPr>
            <w:tcW w:w="1497" w:type="dxa"/>
            <w:noWrap/>
          </w:tcPr>
          <w:p w:rsidR="00D20855" w:rsidRPr="008806FB" w:rsidRDefault="00D20855" w:rsidP="000F3D18">
            <w:pPr>
              <w:jc w:val="right"/>
              <w:rPr>
                <w:sz w:val="22"/>
                <w:szCs w:val="22"/>
              </w:rPr>
            </w:pPr>
            <w:r w:rsidRPr="008806FB">
              <w:rPr>
                <w:sz w:val="22"/>
                <w:szCs w:val="22"/>
              </w:rPr>
              <w:t>6 832 680,4</w:t>
            </w:r>
          </w:p>
        </w:tc>
        <w:tc>
          <w:tcPr>
            <w:tcW w:w="1058" w:type="dxa"/>
            <w:noWrap/>
          </w:tcPr>
          <w:p w:rsidR="00D20855" w:rsidRPr="008806FB" w:rsidRDefault="00D20855" w:rsidP="006611D7">
            <w:pPr>
              <w:jc w:val="right"/>
              <w:rPr>
                <w:sz w:val="22"/>
                <w:szCs w:val="22"/>
              </w:rPr>
            </w:pPr>
            <w:r>
              <w:rPr>
                <w:sz w:val="22"/>
                <w:szCs w:val="22"/>
              </w:rPr>
              <w:t>99,9</w:t>
            </w:r>
            <w:r w:rsidR="006611D7">
              <w:rPr>
                <w:sz w:val="22"/>
                <w:szCs w:val="22"/>
              </w:rPr>
              <w:t>7</w:t>
            </w:r>
          </w:p>
        </w:tc>
        <w:tc>
          <w:tcPr>
            <w:tcW w:w="1303" w:type="dxa"/>
            <w:noWrap/>
          </w:tcPr>
          <w:p w:rsidR="00D20855" w:rsidRPr="008806FB" w:rsidRDefault="00D20855" w:rsidP="000F3D18">
            <w:pPr>
              <w:jc w:val="right"/>
              <w:rPr>
                <w:sz w:val="22"/>
                <w:szCs w:val="22"/>
              </w:rPr>
            </w:pPr>
            <w:r w:rsidRPr="008806FB">
              <w:rPr>
                <w:sz w:val="22"/>
                <w:szCs w:val="22"/>
              </w:rPr>
              <w:t>2 266,3</w:t>
            </w:r>
          </w:p>
        </w:tc>
      </w:tr>
      <w:tr w:rsidR="00D20855" w:rsidRPr="00EA057A" w:rsidTr="000F3D18">
        <w:trPr>
          <w:trHeight w:val="542"/>
        </w:trPr>
        <w:tc>
          <w:tcPr>
            <w:tcW w:w="4223" w:type="dxa"/>
            <w:hideMark/>
          </w:tcPr>
          <w:p w:rsidR="00D20855" w:rsidRPr="008806FB" w:rsidRDefault="00D20855" w:rsidP="000F3D18">
            <w:pPr>
              <w:rPr>
                <w:sz w:val="22"/>
                <w:szCs w:val="22"/>
              </w:rPr>
            </w:pPr>
            <w:r w:rsidRPr="008806FB">
              <w:rPr>
                <w:sz w:val="22"/>
                <w:szCs w:val="22"/>
              </w:rPr>
              <w:t>Подпрограмма «Развитие системы защиты прав детей»</w:t>
            </w:r>
          </w:p>
        </w:tc>
        <w:tc>
          <w:tcPr>
            <w:tcW w:w="1338" w:type="dxa"/>
            <w:noWrap/>
          </w:tcPr>
          <w:p w:rsidR="00D20855" w:rsidRPr="008806FB" w:rsidRDefault="00D20855" w:rsidP="000F3D18">
            <w:pPr>
              <w:jc w:val="right"/>
              <w:rPr>
                <w:sz w:val="22"/>
                <w:szCs w:val="22"/>
              </w:rPr>
            </w:pPr>
            <w:r w:rsidRPr="008806FB">
              <w:rPr>
                <w:sz w:val="22"/>
                <w:szCs w:val="22"/>
              </w:rPr>
              <w:t>510 153,2</w:t>
            </w:r>
          </w:p>
        </w:tc>
        <w:tc>
          <w:tcPr>
            <w:tcW w:w="1497" w:type="dxa"/>
            <w:noWrap/>
          </w:tcPr>
          <w:p w:rsidR="00D20855" w:rsidRPr="008806FB" w:rsidRDefault="00D20855" w:rsidP="000F3D18">
            <w:pPr>
              <w:jc w:val="right"/>
              <w:rPr>
                <w:sz w:val="22"/>
                <w:szCs w:val="22"/>
              </w:rPr>
            </w:pPr>
            <w:r w:rsidRPr="008806FB">
              <w:rPr>
                <w:sz w:val="22"/>
                <w:szCs w:val="22"/>
              </w:rPr>
              <w:t>508 281,7</w:t>
            </w:r>
          </w:p>
        </w:tc>
        <w:tc>
          <w:tcPr>
            <w:tcW w:w="1058" w:type="dxa"/>
            <w:noWrap/>
          </w:tcPr>
          <w:p w:rsidR="00D20855" w:rsidRPr="008806FB" w:rsidRDefault="00D20855" w:rsidP="000F3D18">
            <w:pPr>
              <w:jc w:val="right"/>
              <w:rPr>
                <w:sz w:val="22"/>
                <w:szCs w:val="22"/>
              </w:rPr>
            </w:pPr>
            <w:r w:rsidRPr="008806FB">
              <w:rPr>
                <w:sz w:val="22"/>
                <w:szCs w:val="22"/>
              </w:rPr>
              <w:t>99,6</w:t>
            </w:r>
          </w:p>
        </w:tc>
        <w:tc>
          <w:tcPr>
            <w:tcW w:w="1303" w:type="dxa"/>
            <w:noWrap/>
          </w:tcPr>
          <w:p w:rsidR="00D20855" w:rsidRPr="008806FB" w:rsidRDefault="00D20855" w:rsidP="000F3D18">
            <w:pPr>
              <w:jc w:val="right"/>
              <w:rPr>
                <w:sz w:val="22"/>
                <w:szCs w:val="22"/>
              </w:rPr>
            </w:pPr>
            <w:r w:rsidRPr="008806FB">
              <w:rPr>
                <w:sz w:val="22"/>
                <w:szCs w:val="22"/>
              </w:rPr>
              <w:t>1 871,5</w:t>
            </w:r>
          </w:p>
        </w:tc>
      </w:tr>
      <w:tr w:rsidR="00D20855" w:rsidRPr="00EA057A" w:rsidTr="000F3D18">
        <w:trPr>
          <w:trHeight w:val="542"/>
        </w:trPr>
        <w:tc>
          <w:tcPr>
            <w:tcW w:w="4223" w:type="dxa"/>
          </w:tcPr>
          <w:p w:rsidR="00D20855" w:rsidRPr="008806FB" w:rsidRDefault="00D20855" w:rsidP="000F3D18">
            <w:pPr>
              <w:rPr>
                <w:sz w:val="22"/>
                <w:szCs w:val="22"/>
              </w:rPr>
            </w:pPr>
            <w:r w:rsidRPr="008806FB">
              <w:rPr>
                <w:sz w:val="22"/>
                <w:szCs w:val="22"/>
              </w:rPr>
              <w:t>Подпрограмма «Вовлечение молодежи в социальную практику»</w:t>
            </w:r>
          </w:p>
        </w:tc>
        <w:tc>
          <w:tcPr>
            <w:tcW w:w="1338" w:type="dxa"/>
            <w:noWrap/>
          </w:tcPr>
          <w:p w:rsidR="00D20855" w:rsidRPr="008806FB" w:rsidRDefault="00D20855" w:rsidP="000F3D18">
            <w:pPr>
              <w:jc w:val="right"/>
              <w:rPr>
                <w:sz w:val="22"/>
                <w:szCs w:val="22"/>
              </w:rPr>
            </w:pPr>
            <w:r w:rsidRPr="008806FB">
              <w:rPr>
                <w:sz w:val="22"/>
                <w:szCs w:val="22"/>
              </w:rPr>
              <w:t>4 068,1</w:t>
            </w:r>
          </w:p>
        </w:tc>
        <w:tc>
          <w:tcPr>
            <w:tcW w:w="1497" w:type="dxa"/>
            <w:noWrap/>
          </w:tcPr>
          <w:p w:rsidR="00D20855" w:rsidRPr="008806FB" w:rsidRDefault="00D20855" w:rsidP="000F3D18">
            <w:pPr>
              <w:jc w:val="right"/>
              <w:rPr>
                <w:sz w:val="22"/>
                <w:szCs w:val="22"/>
              </w:rPr>
            </w:pPr>
            <w:r w:rsidRPr="008806FB">
              <w:rPr>
                <w:sz w:val="22"/>
                <w:szCs w:val="22"/>
              </w:rPr>
              <w:t>4 068,1</w:t>
            </w:r>
          </w:p>
        </w:tc>
        <w:tc>
          <w:tcPr>
            <w:tcW w:w="1058" w:type="dxa"/>
            <w:noWrap/>
          </w:tcPr>
          <w:p w:rsidR="00D20855" w:rsidRPr="008806FB" w:rsidRDefault="00D20855" w:rsidP="000F3D18">
            <w:pPr>
              <w:jc w:val="right"/>
              <w:rPr>
                <w:sz w:val="22"/>
                <w:szCs w:val="22"/>
              </w:rPr>
            </w:pPr>
            <w:r w:rsidRPr="008806FB">
              <w:rPr>
                <w:sz w:val="22"/>
                <w:szCs w:val="22"/>
              </w:rPr>
              <w:t>100,0</w:t>
            </w:r>
          </w:p>
        </w:tc>
        <w:tc>
          <w:tcPr>
            <w:tcW w:w="1303" w:type="dxa"/>
            <w:noWrap/>
          </w:tcPr>
          <w:p w:rsidR="00D20855" w:rsidRPr="008806FB" w:rsidRDefault="00D20855" w:rsidP="000F3D18">
            <w:pPr>
              <w:jc w:val="right"/>
              <w:rPr>
                <w:sz w:val="22"/>
                <w:szCs w:val="22"/>
              </w:rPr>
            </w:pPr>
            <w:r w:rsidRPr="008806FB">
              <w:rPr>
                <w:sz w:val="22"/>
                <w:szCs w:val="22"/>
              </w:rPr>
              <w:t>0,0</w:t>
            </w:r>
          </w:p>
        </w:tc>
      </w:tr>
      <w:tr w:rsidR="00D20855" w:rsidRPr="00EA057A" w:rsidTr="000F3D18">
        <w:trPr>
          <w:trHeight w:val="273"/>
        </w:trPr>
        <w:tc>
          <w:tcPr>
            <w:tcW w:w="4223" w:type="dxa"/>
            <w:hideMark/>
          </w:tcPr>
          <w:p w:rsidR="00D20855" w:rsidRPr="008806FB" w:rsidRDefault="00D20855" w:rsidP="000F3D18">
            <w:pPr>
              <w:rPr>
                <w:sz w:val="22"/>
                <w:szCs w:val="22"/>
              </w:rPr>
            </w:pPr>
            <w:r w:rsidRPr="008806FB">
              <w:rPr>
                <w:sz w:val="22"/>
                <w:szCs w:val="22"/>
              </w:rPr>
              <w:t xml:space="preserve">Подпрограмма  «Обеспечение реализации </w:t>
            </w:r>
            <w:r w:rsidRPr="008806FB">
              <w:rPr>
                <w:sz w:val="22"/>
                <w:szCs w:val="22"/>
              </w:rPr>
              <w:lastRenderedPageBreak/>
              <w:t>государственной программы «Развитие образования Амурской области на 2014–2020 годы» и прочие мероприятия в области образования»</w:t>
            </w:r>
          </w:p>
        </w:tc>
        <w:tc>
          <w:tcPr>
            <w:tcW w:w="1338" w:type="dxa"/>
            <w:noWrap/>
          </w:tcPr>
          <w:p w:rsidR="00D20855" w:rsidRPr="008806FB" w:rsidRDefault="00D20855" w:rsidP="000F3D18">
            <w:pPr>
              <w:jc w:val="right"/>
              <w:rPr>
                <w:sz w:val="22"/>
                <w:szCs w:val="22"/>
              </w:rPr>
            </w:pPr>
            <w:r w:rsidRPr="008806FB">
              <w:rPr>
                <w:sz w:val="22"/>
                <w:szCs w:val="22"/>
              </w:rPr>
              <w:lastRenderedPageBreak/>
              <w:t>51 334,0</w:t>
            </w:r>
          </w:p>
        </w:tc>
        <w:tc>
          <w:tcPr>
            <w:tcW w:w="1497" w:type="dxa"/>
            <w:noWrap/>
          </w:tcPr>
          <w:p w:rsidR="00D20855" w:rsidRPr="008806FB" w:rsidRDefault="00D20855" w:rsidP="000F3D18">
            <w:pPr>
              <w:jc w:val="right"/>
              <w:rPr>
                <w:sz w:val="22"/>
                <w:szCs w:val="22"/>
              </w:rPr>
            </w:pPr>
            <w:r w:rsidRPr="008806FB">
              <w:rPr>
                <w:sz w:val="22"/>
                <w:szCs w:val="22"/>
              </w:rPr>
              <w:t>49 508,3</w:t>
            </w:r>
          </w:p>
        </w:tc>
        <w:tc>
          <w:tcPr>
            <w:tcW w:w="1058" w:type="dxa"/>
            <w:noWrap/>
          </w:tcPr>
          <w:p w:rsidR="00D20855" w:rsidRPr="008806FB" w:rsidRDefault="00D20855" w:rsidP="000F3D18">
            <w:pPr>
              <w:jc w:val="right"/>
              <w:rPr>
                <w:sz w:val="22"/>
                <w:szCs w:val="22"/>
              </w:rPr>
            </w:pPr>
            <w:r w:rsidRPr="008806FB">
              <w:rPr>
                <w:sz w:val="22"/>
                <w:szCs w:val="22"/>
              </w:rPr>
              <w:t>96,4</w:t>
            </w:r>
          </w:p>
        </w:tc>
        <w:tc>
          <w:tcPr>
            <w:tcW w:w="1303" w:type="dxa"/>
            <w:noWrap/>
          </w:tcPr>
          <w:p w:rsidR="00D20855" w:rsidRPr="008806FB" w:rsidRDefault="00D20855" w:rsidP="000F3D18">
            <w:pPr>
              <w:jc w:val="right"/>
              <w:rPr>
                <w:sz w:val="22"/>
                <w:szCs w:val="22"/>
              </w:rPr>
            </w:pPr>
            <w:r w:rsidRPr="008806FB">
              <w:rPr>
                <w:sz w:val="22"/>
                <w:szCs w:val="22"/>
              </w:rPr>
              <w:t>1 825,7</w:t>
            </w:r>
          </w:p>
        </w:tc>
      </w:tr>
    </w:tbl>
    <w:p w:rsidR="00BE701A" w:rsidRPr="00BE701A" w:rsidRDefault="00BE701A" w:rsidP="00BE701A">
      <w:pPr>
        <w:pStyle w:val="afa"/>
        <w:numPr>
          <w:ilvl w:val="0"/>
          <w:numId w:val="6"/>
        </w:numPr>
        <w:ind w:left="0" w:firstLine="709"/>
        <w:rPr>
          <w:i/>
          <w:sz w:val="24"/>
          <w:szCs w:val="24"/>
        </w:rPr>
      </w:pPr>
      <w:r w:rsidRPr="00BE701A">
        <w:rPr>
          <w:i/>
          <w:sz w:val="24"/>
          <w:szCs w:val="24"/>
        </w:rPr>
        <w:lastRenderedPageBreak/>
        <w:t>Подпрограмма «Развитие профессионального образования»</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Бюджетные ассигнования по подпрограмме «Развитие профессионального образования» утверждены в расходах областного бюджета в сумме 1145259,4 тыс. рублей. </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99,99 процента плана (объем неисполненных ассигнований составил 87,5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Наибольшую долю объема расходов по данной подпрограмме составляют расходы на обеспечение деятельности (оказание услуг) государственных учреждений, а также предоставление им субсидий на иные цели</w:t>
      </w:r>
      <w:r w:rsidRPr="00BE701A">
        <w:rPr>
          <w:rFonts w:ascii="Times New Roman" w:hAnsi="Times New Roman" w:cs="Times New Roman"/>
          <w:color w:val="4F81BD" w:themeColor="accent1"/>
          <w:sz w:val="24"/>
          <w:szCs w:val="24"/>
        </w:rPr>
        <w:t xml:space="preserve"> </w:t>
      </w:r>
      <w:r w:rsidRPr="00BE701A">
        <w:rPr>
          <w:rFonts w:ascii="Times New Roman" w:hAnsi="Times New Roman" w:cs="Times New Roman"/>
          <w:sz w:val="24"/>
          <w:szCs w:val="24"/>
        </w:rPr>
        <w:t>– 99,9 процента. На данные мероприятия предусмотрено 1143646,7 тыс. рублей, исполнение составило 1143593,1 тыс. рублей, или 99,99 процента.</w:t>
      </w:r>
      <w:r w:rsidR="00B83C8C">
        <w:rPr>
          <w:rFonts w:ascii="Times New Roman" w:hAnsi="Times New Roman" w:cs="Times New Roman"/>
          <w:sz w:val="24"/>
          <w:szCs w:val="24"/>
        </w:rPr>
        <w:t xml:space="preserve"> </w:t>
      </w:r>
      <w:r w:rsidRPr="00BE701A">
        <w:rPr>
          <w:rFonts w:ascii="Times New Roman" w:hAnsi="Times New Roman" w:cs="Times New Roman"/>
          <w:sz w:val="24"/>
          <w:szCs w:val="24"/>
        </w:rPr>
        <w:t>Задачей данного программного мероприятия является обеспечение формирования и выполнения государственных заданий по предоставлению услуг на реализацию образовательных программ среднего профессионального образования, дополнительных профессиональных программ (подготовки, переподготовки, повышения квалификации работников государственных образовательных организаций и муниципальных образовательных организаций), а также предоставление государственным бюджетным и автономным организациям субсидий на иные цели.</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Кроме того, в рамках подпрограммы реализовывались следующие программные мероприятия:</w:t>
      </w:r>
    </w:p>
    <w:p w:rsidR="00BE701A" w:rsidRPr="00BE701A" w:rsidRDefault="00B83C8C" w:rsidP="00BE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E701A" w:rsidRPr="00BE701A">
        <w:rPr>
          <w:rFonts w:ascii="Times New Roman" w:hAnsi="Times New Roman" w:cs="Times New Roman"/>
          <w:sz w:val="24"/>
          <w:szCs w:val="24"/>
        </w:rPr>
        <w:t>развитие кадрового потенциала системы дошкольного, общего, дополнительного и профессионального образования путем обеспечения мер социальной поддержки работников государственных учреждений – план 240,0 тыс. рублей, исполнение 100,0 процентов;</w:t>
      </w:r>
    </w:p>
    <w:p w:rsidR="00BE701A" w:rsidRPr="00BE701A" w:rsidRDefault="00B83C8C" w:rsidP="00BE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E701A" w:rsidRPr="00BE701A">
        <w:rPr>
          <w:rFonts w:ascii="Times New Roman" w:hAnsi="Times New Roman" w:cs="Times New Roman"/>
          <w:sz w:val="24"/>
          <w:szCs w:val="24"/>
        </w:rPr>
        <w:t xml:space="preserve">обеспечение мер социальной поддержки работников государственных учреждений – </w:t>
      </w:r>
      <w:r w:rsidR="00211ABD">
        <w:rPr>
          <w:rFonts w:ascii="Times New Roman" w:hAnsi="Times New Roman" w:cs="Times New Roman"/>
          <w:sz w:val="24"/>
          <w:szCs w:val="24"/>
        </w:rPr>
        <w:t>план 824,9</w:t>
      </w:r>
      <w:r w:rsidR="00BE701A" w:rsidRPr="00BE701A">
        <w:rPr>
          <w:rFonts w:ascii="Times New Roman" w:hAnsi="Times New Roman" w:cs="Times New Roman"/>
          <w:sz w:val="24"/>
          <w:szCs w:val="24"/>
        </w:rPr>
        <w:t xml:space="preserve"> тыс. рублей, исполнение 96,6 процента;</w:t>
      </w:r>
    </w:p>
    <w:p w:rsidR="00BE701A" w:rsidRPr="00BE701A" w:rsidRDefault="00B83C8C" w:rsidP="00BE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E701A" w:rsidRPr="00BE701A">
        <w:rPr>
          <w:rFonts w:ascii="Times New Roman" w:hAnsi="Times New Roman" w:cs="Times New Roman"/>
          <w:sz w:val="24"/>
          <w:szCs w:val="24"/>
        </w:rPr>
        <w:t>поощрение лучших учителей – план 1040,0 тыс. рублей, исполнение 100,0 процентов.</w:t>
      </w:r>
    </w:p>
    <w:p w:rsidR="00BE701A" w:rsidRPr="00BE701A" w:rsidRDefault="00BE701A" w:rsidP="00BE701A">
      <w:pPr>
        <w:pStyle w:val="afa"/>
        <w:ind w:left="0" w:firstLine="709"/>
        <w:contextualSpacing w:val="0"/>
        <w:jc w:val="both"/>
        <w:rPr>
          <w:sz w:val="24"/>
          <w:szCs w:val="24"/>
        </w:rPr>
      </w:pPr>
      <w:r w:rsidRPr="00BE701A">
        <w:rPr>
          <w:sz w:val="24"/>
          <w:szCs w:val="24"/>
        </w:rPr>
        <w:t>По данной подпрограмме достигнуты все установленные показатели (индикаторы) результативности:</w:t>
      </w:r>
    </w:p>
    <w:p w:rsidR="00BE701A" w:rsidRPr="00BE701A" w:rsidRDefault="00B83C8C" w:rsidP="00BE701A">
      <w:pPr>
        <w:pStyle w:val="afa"/>
        <w:ind w:left="0" w:firstLine="709"/>
        <w:contextualSpacing w:val="0"/>
        <w:jc w:val="both"/>
        <w:rPr>
          <w:sz w:val="24"/>
          <w:szCs w:val="24"/>
        </w:rPr>
      </w:pPr>
      <w:r>
        <w:rPr>
          <w:sz w:val="24"/>
          <w:szCs w:val="24"/>
        </w:rPr>
        <w:t>-</w:t>
      </w:r>
      <w:r w:rsidR="00BE701A" w:rsidRPr="00BE701A">
        <w:rPr>
          <w:sz w:val="24"/>
          <w:szCs w:val="24"/>
        </w:rPr>
        <w:t>удельный вес выпускников, обучавшихся по программам профессионального образования по профессиям рабочих, должностям служащих, в общей численности выпускников;</w:t>
      </w:r>
    </w:p>
    <w:p w:rsidR="00BE701A" w:rsidRPr="00BE701A" w:rsidRDefault="00B83C8C" w:rsidP="00BE701A">
      <w:pPr>
        <w:pStyle w:val="afa"/>
        <w:ind w:left="0" w:firstLine="709"/>
        <w:contextualSpacing w:val="0"/>
        <w:jc w:val="both"/>
        <w:rPr>
          <w:sz w:val="24"/>
          <w:szCs w:val="24"/>
        </w:rPr>
      </w:pPr>
      <w:r>
        <w:rPr>
          <w:sz w:val="24"/>
          <w:szCs w:val="24"/>
        </w:rPr>
        <w:t>-</w:t>
      </w:r>
      <w:r w:rsidR="00BE701A" w:rsidRPr="00BE701A">
        <w:rPr>
          <w:sz w:val="24"/>
          <w:szCs w:val="24"/>
        </w:rPr>
        <w:t>отношение средней заработной платы преподавателей и мастеров производственного обучения образовательных организаций профессионального образования к средней заработной плате в Амурской области</w:t>
      </w:r>
      <w:r w:rsidR="00070E26">
        <w:rPr>
          <w:sz w:val="24"/>
          <w:szCs w:val="24"/>
        </w:rPr>
        <w:t>.</w:t>
      </w:r>
    </w:p>
    <w:p w:rsidR="00BE701A" w:rsidRPr="00BE701A" w:rsidRDefault="00BE701A" w:rsidP="00BE701A">
      <w:pPr>
        <w:pStyle w:val="afa"/>
        <w:numPr>
          <w:ilvl w:val="0"/>
          <w:numId w:val="6"/>
        </w:numPr>
        <w:ind w:left="0" w:firstLine="709"/>
        <w:jc w:val="both"/>
        <w:rPr>
          <w:i/>
          <w:sz w:val="24"/>
          <w:szCs w:val="24"/>
        </w:rPr>
      </w:pPr>
      <w:r w:rsidRPr="00BE701A">
        <w:rPr>
          <w:i/>
          <w:sz w:val="24"/>
          <w:szCs w:val="24"/>
        </w:rPr>
        <w:t>Подпрограмма «Развитие дошкольного, общего и дополнительного образования детей»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Бюджетные ассигнования по подпрограмме «Развитие дошкольного, общего и дополнительного образования детей» утверждены в расходах областного бюджета в сумме </w:t>
      </w:r>
      <w:r w:rsidR="006611D7" w:rsidRPr="006611D7">
        <w:rPr>
          <w:rFonts w:ascii="Times New Roman" w:hAnsi="Times New Roman" w:cs="Times New Roman"/>
          <w:sz w:val="24"/>
          <w:szCs w:val="24"/>
        </w:rPr>
        <w:t>6</w:t>
      </w:r>
      <w:r w:rsidR="006611D7">
        <w:rPr>
          <w:rFonts w:ascii="Times New Roman" w:hAnsi="Times New Roman" w:cs="Times New Roman"/>
          <w:sz w:val="24"/>
          <w:szCs w:val="24"/>
        </w:rPr>
        <w:t>834</w:t>
      </w:r>
      <w:r w:rsidR="006611D7" w:rsidRPr="006611D7">
        <w:rPr>
          <w:rFonts w:ascii="Times New Roman" w:hAnsi="Times New Roman" w:cs="Times New Roman"/>
          <w:sz w:val="24"/>
          <w:szCs w:val="24"/>
        </w:rPr>
        <w:t>946,7</w:t>
      </w:r>
      <w:r w:rsidR="006611D7">
        <w:rPr>
          <w:rFonts w:ascii="Times New Roman" w:hAnsi="Times New Roman" w:cs="Times New Roman"/>
          <w:sz w:val="24"/>
          <w:szCs w:val="24"/>
        </w:rPr>
        <w:t xml:space="preserve"> </w:t>
      </w:r>
      <w:r w:rsidRPr="006611D7">
        <w:rPr>
          <w:rFonts w:ascii="Times New Roman" w:hAnsi="Times New Roman" w:cs="Times New Roman"/>
          <w:sz w:val="24"/>
          <w:szCs w:val="24"/>
        </w:rPr>
        <w:t>тыс. рублей</w:t>
      </w:r>
      <w:r w:rsidRPr="00BE701A">
        <w:rPr>
          <w:rFonts w:ascii="Times New Roman" w:hAnsi="Times New Roman" w:cs="Times New Roman"/>
          <w:sz w:val="24"/>
          <w:szCs w:val="24"/>
        </w:rPr>
        <w:t>. В общем объеме расходов государственной программы доля расходов по данной подпрограмме составляет 80,0 процентов.</w:t>
      </w:r>
    </w:p>
    <w:p w:rsidR="00BE701A" w:rsidRPr="006611D7"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w:t>
      </w:r>
      <w:r w:rsidRPr="006611D7">
        <w:rPr>
          <w:rFonts w:ascii="Times New Roman" w:hAnsi="Times New Roman" w:cs="Times New Roman"/>
          <w:sz w:val="24"/>
          <w:szCs w:val="24"/>
        </w:rPr>
        <w:t>99,9</w:t>
      </w:r>
      <w:r w:rsidR="006611D7" w:rsidRPr="006611D7">
        <w:rPr>
          <w:rFonts w:ascii="Times New Roman" w:hAnsi="Times New Roman" w:cs="Times New Roman"/>
          <w:sz w:val="24"/>
          <w:szCs w:val="24"/>
        </w:rPr>
        <w:t>7</w:t>
      </w:r>
      <w:r w:rsidRPr="006611D7">
        <w:rPr>
          <w:rFonts w:ascii="Times New Roman" w:hAnsi="Times New Roman" w:cs="Times New Roman"/>
          <w:sz w:val="24"/>
          <w:szCs w:val="24"/>
        </w:rPr>
        <w:t xml:space="preserve"> процента (объем неисполненных ассигнований составил 2266,3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Наибольшую долю в объеме расходов подпрограммы – 87,7 процента составляют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lastRenderedPageBreak/>
        <w:t>Данные расходы предусмотрены в форме межбюджетных трансфертов муниципальным образованиям области и субсидий частным организациям в общем объеме 5996208,9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Исполнение сложилось следующим образом:</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при плане 5937547,1 тыс. рублей исполнение составило 100,0 процентов;</w:t>
      </w:r>
    </w:p>
    <w:p w:rsidR="00BE701A" w:rsidRPr="00BE701A" w:rsidRDefault="00BE701A" w:rsidP="00BE701A">
      <w:pPr>
        <w:spacing w:after="0" w:line="240" w:lineRule="auto"/>
        <w:ind w:firstLine="709"/>
        <w:jc w:val="both"/>
        <w:rPr>
          <w:rFonts w:ascii="Times New Roman" w:hAnsi="Times New Roman" w:cs="Times New Roman"/>
          <w:sz w:val="24"/>
          <w:szCs w:val="24"/>
        </w:rPr>
      </w:pPr>
      <w:proofErr w:type="gramStart"/>
      <w:r w:rsidRPr="00BE701A">
        <w:rPr>
          <w:rFonts w:ascii="Times New Roman" w:hAnsi="Times New Roman" w:cs="Times New Roman"/>
          <w:sz w:val="24"/>
          <w:szCs w:val="24"/>
        </w:rPr>
        <w:t>-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 при плане 21271,2 тыс. рублей исполнение составило 100,0 процентов;</w:t>
      </w:r>
      <w:proofErr w:type="gramEnd"/>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финансовое обеспечение получения дошкольного образования в частных дошкольных образовательных организациях – при плане 37390,6 тыс. рублей исполнение составило 99,5 процента.</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муниципальным образованиям области направлены межбюджетные трансферты в сумме 280214,1 тыс. рублей, или 99,7 процента плана.</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На реализацию мероприятия «Модернизация систем дополнительного образования» направлено 10000,0 тыс. рублей, или 100,0 процентов плановых назначений. </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Программное мероприятие «Расходы на обеспечение деятельности (оказание услуг) государственных учреждений» при плановых показателях </w:t>
      </w:r>
      <w:r w:rsidR="004A1DA7">
        <w:rPr>
          <w:rFonts w:ascii="Times New Roman" w:hAnsi="Times New Roman" w:cs="Times New Roman"/>
          <w:sz w:val="24"/>
          <w:szCs w:val="24"/>
        </w:rPr>
        <w:t>500548,6</w:t>
      </w:r>
      <w:r w:rsidRPr="00BE701A">
        <w:rPr>
          <w:rFonts w:ascii="Times New Roman" w:hAnsi="Times New Roman" w:cs="Times New Roman"/>
          <w:sz w:val="24"/>
          <w:szCs w:val="24"/>
        </w:rPr>
        <w:t xml:space="preserve"> тыс. рублей исполнено в сумме </w:t>
      </w:r>
      <w:r w:rsidR="004A1DA7">
        <w:rPr>
          <w:rFonts w:ascii="Times New Roman" w:hAnsi="Times New Roman" w:cs="Times New Roman"/>
          <w:sz w:val="24"/>
          <w:szCs w:val="24"/>
        </w:rPr>
        <w:t>500328,3</w:t>
      </w:r>
      <w:r w:rsidRPr="00BE701A">
        <w:rPr>
          <w:rFonts w:ascii="Times New Roman" w:hAnsi="Times New Roman" w:cs="Times New Roman"/>
          <w:sz w:val="24"/>
          <w:szCs w:val="24"/>
        </w:rPr>
        <w:t xml:space="preserve"> тыс. рублей, или 99,9 процента. </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В полном объеме – в сумме 22104,4 тыс. рублей профинансировано мероприятие «Создание в общеобразовательных организациях, расположенных в сельской местности, условий для занятий физической культурой и спортом», а также предоставлена субсидия в сумме 6000,0 тыс. рублей некоммерческой организации дополнительного образования детей.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В рамках основного мероприятия «Грантовая поддержка общеобразовательных организаций» предоставлены гранты инновационным общеобразовательным организациям в сумме 200,0 тыс. рублей, или 100,0 процентов плана.  </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по данной подпрограмме все показатели (индикаторы) результативности достигнуты, за исключением такого показателя как</w:t>
      </w:r>
      <w:r w:rsidR="00B83C8C">
        <w:rPr>
          <w:rFonts w:ascii="Times New Roman" w:hAnsi="Times New Roman" w:cs="Times New Roman"/>
          <w:sz w:val="24"/>
          <w:szCs w:val="24"/>
        </w:rPr>
        <w:t xml:space="preserve"> </w:t>
      </w:r>
      <w:r w:rsidRPr="00BE701A">
        <w:rPr>
          <w:rFonts w:ascii="Times New Roman" w:hAnsi="Times New Roman" w:cs="Times New Roman"/>
          <w:sz w:val="24"/>
          <w:szCs w:val="24"/>
        </w:rPr>
        <w:t xml:space="preserve">доля государственных (муниципальных) образовательных организаций, реализующих программы общего образования и дополнительного образования детей, здания которых находятся в аварийном состоянии или требуют капитального ремонта, в общей численности названных государственных (муниципальных) образовательных организаций. По данному показателю при заданном значении 11,4 процента, отчетный показатель составил </w:t>
      </w:r>
      <w:r w:rsidRPr="00BE701A">
        <w:rPr>
          <w:rFonts w:ascii="Times New Roman" w:hAnsi="Times New Roman" w:cs="Times New Roman"/>
          <w:sz w:val="24"/>
          <w:szCs w:val="24"/>
        </w:rPr>
        <w:br/>
        <w:t>20,0 процентов.</w:t>
      </w:r>
    </w:p>
    <w:p w:rsidR="00BE701A" w:rsidRPr="00BE701A" w:rsidRDefault="00BE701A" w:rsidP="00BE701A">
      <w:pPr>
        <w:pStyle w:val="afa"/>
        <w:numPr>
          <w:ilvl w:val="0"/>
          <w:numId w:val="6"/>
        </w:numPr>
        <w:ind w:left="0" w:firstLine="709"/>
        <w:jc w:val="both"/>
        <w:rPr>
          <w:i/>
          <w:sz w:val="24"/>
          <w:szCs w:val="24"/>
        </w:rPr>
      </w:pPr>
      <w:r w:rsidRPr="00BE701A">
        <w:rPr>
          <w:i/>
          <w:sz w:val="24"/>
          <w:szCs w:val="24"/>
        </w:rPr>
        <w:t>Подпрограмма «Развитие системы защиты прав детей»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Бюджетные ассигнования по подпрограмме «Развитие системы защиты прав детей» утверждены в расходах областного бюджета в сумме 510153,2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99,6 процента (объем неисполненных ассигнований составил </w:t>
      </w:r>
      <w:r w:rsidRPr="00BE701A">
        <w:rPr>
          <w:rFonts w:ascii="Times New Roman" w:hAnsi="Times New Roman" w:cs="Times New Roman"/>
          <w:sz w:val="24"/>
          <w:szCs w:val="24"/>
        </w:rPr>
        <w:br/>
        <w:t>1871,5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В рамках данной подпрограммы осуществлялось финансирование следующих мероприятий: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lastRenderedPageBreak/>
        <w:t>- организация и проведение областных профильных смен в сумме 5000,0 тыс. рублей, или 100,0 процентов плана;</w:t>
      </w:r>
    </w:p>
    <w:p w:rsidR="00BE701A" w:rsidRPr="00BE701A" w:rsidRDefault="00BE701A" w:rsidP="00BE701A">
      <w:pPr>
        <w:spacing w:after="0" w:line="240" w:lineRule="auto"/>
        <w:ind w:firstLine="709"/>
        <w:jc w:val="both"/>
        <w:rPr>
          <w:rFonts w:ascii="Times New Roman" w:hAnsi="Times New Roman" w:cs="Times New Roman"/>
          <w:color w:val="4F81BD" w:themeColor="accent1"/>
          <w:sz w:val="24"/>
          <w:szCs w:val="24"/>
        </w:rPr>
      </w:pPr>
      <w:r w:rsidRPr="00BE701A">
        <w:rPr>
          <w:rFonts w:ascii="Times New Roman" w:hAnsi="Times New Roman" w:cs="Times New Roman"/>
          <w:sz w:val="24"/>
          <w:szCs w:val="24"/>
        </w:rPr>
        <w:t>- мероприятия по проведению оздоровительной кампании детей в сумме 113503,9 тыс. рублей, или 100,0 процентов плана;</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организациях профессионального образования в сумме 312613,1 тыс. рублей, или 99,99 процента плана;</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организация деятельности комиссий по делам несовершеннолетних и защите их прав в сумме 19693,5 тыс. рублей, или 95,2 процента плана. По данному мероприятию предусмотрено предоставление субвенций бюджетам муниципальных образований для осуществления полномочий по реализации Закона Амурской области «О комиссиях по делам несовершеннолетних и защите их прав» от 14 декабря 2005 г. № 103-ОЗ;</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частичная оплата стоимости путевок для детей работающих граждан в организации отдыха и оздоровления детей в каникулярное время путем предоставления субсидии муниципальным образованиям в сумме 45075,4 тыс. рублей, или 98,5 процента плана. По данному мероприятию предусмотрено предоставление субсидий бюджетам муниципальных образований;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обеспечение деятельности учреждений для отдыха детей в сумме 12395,9 тыс. рублей, или 100,0 процентов плана.</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достижение установленного показателя (индикатора) результативности - доля детей, охваченных мероприятиями по отдыху и оздоровлению, от общего количества детей школьного возраста составило 74,0 процента. Недостижение объясняется неверным установлением значения показателя (при расчете планового процента на 2017 год ошибочно учитывались дети, находящиеся в трудной жизненной ситуации и получившие санаторно-курортное лечение).</w:t>
      </w:r>
    </w:p>
    <w:p w:rsidR="00BE701A" w:rsidRPr="00BE701A" w:rsidRDefault="00BE701A" w:rsidP="00BE701A">
      <w:pPr>
        <w:spacing w:after="0" w:line="240" w:lineRule="auto"/>
        <w:ind w:firstLine="709"/>
        <w:jc w:val="both"/>
        <w:rPr>
          <w:rFonts w:ascii="Times New Roman" w:hAnsi="Times New Roman" w:cs="Times New Roman"/>
          <w:b/>
          <w:i/>
          <w:sz w:val="24"/>
          <w:szCs w:val="24"/>
        </w:rPr>
      </w:pPr>
      <w:r w:rsidRPr="00BE701A">
        <w:rPr>
          <w:rFonts w:ascii="Times New Roman" w:hAnsi="Times New Roman" w:cs="Times New Roman"/>
          <w:sz w:val="24"/>
          <w:szCs w:val="24"/>
        </w:rPr>
        <w:t xml:space="preserve">Показатель результативности - число участников ученических производственных бригад достигнут с уровнем 109,0 процентов (план 1520 чел., достигнуто 1654 чел.). </w:t>
      </w:r>
      <w:r w:rsidRPr="00BE701A">
        <w:rPr>
          <w:rFonts w:ascii="Times New Roman" w:hAnsi="Times New Roman" w:cs="Times New Roman"/>
          <w:b/>
          <w:i/>
          <w:sz w:val="24"/>
          <w:szCs w:val="24"/>
        </w:rPr>
        <w:t>По мнению контрольно-счетной палаты области</w:t>
      </w:r>
      <w:r w:rsidR="00B83C8C">
        <w:rPr>
          <w:rFonts w:ascii="Times New Roman" w:hAnsi="Times New Roman" w:cs="Times New Roman"/>
          <w:b/>
          <w:i/>
          <w:sz w:val="24"/>
          <w:szCs w:val="24"/>
        </w:rPr>
        <w:t xml:space="preserve">, </w:t>
      </w:r>
      <w:r w:rsidRPr="00BE701A">
        <w:rPr>
          <w:rFonts w:ascii="Times New Roman" w:hAnsi="Times New Roman" w:cs="Times New Roman"/>
          <w:b/>
          <w:i/>
          <w:sz w:val="24"/>
          <w:szCs w:val="24"/>
        </w:rPr>
        <w:t>плановое значение данного показателя на 2017 год - 1520 человек несколько занижено, поскольку аналогичный показатель по отчету за 2016 год составлял 1600 человек.</w:t>
      </w:r>
    </w:p>
    <w:p w:rsidR="00BE701A" w:rsidRPr="00BE701A" w:rsidRDefault="00BE701A" w:rsidP="00BE701A">
      <w:pPr>
        <w:pStyle w:val="afa"/>
        <w:numPr>
          <w:ilvl w:val="0"/>
          <w:numId w:val="6"/>
        </w:numPr>
        <w:ind w:left="0" w:firstLine="709"/>
        <w:jc w:val="both"/>
        <w:rPr>
          <w:i/>
          <w:sz w:val="24"/>
          <w:szCs w:val="24"/>
        </w:rPr>
      </w:pPr>
      <w:r w:rsidRPr="00BE701A">
        <w:rPr>
          <w:i/>
          <w:sz w:val="24"/>
          <w:szCs w:val="24"/>
        </w:rPr>
        <w:t>Подпрограмма «Вовлечение молодежи в социальную практику»</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Бюджетные ассигнования по подпрограмме «Вовлечение молодежи в социальную практику» утверждены в расходах областного бюджета в сумме 4068,1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Уровень исполнения расходов, предусмотренных на реализацию мероприятий подпрограммы, составил 100,0 процентов.</w:t>
      </w:r>
      <w:r w:rsidR="00B83C8C">
        <w:rPr>
          <w:rFonts w:ascii="Times New Roman" w:hAnsi="Times New Roman" w:cs="Times New Roman"/>
          <w:sz w:val="24"/>
          <w:szCs w:val="24"/>
        </w:rPr>
        <w:t xml:space="preserve"> </w:t>
      </w:r>
      <w:r w:rsidRPr="00BE701A">
        <w:rPr>
          <w:rFonts w:ascii="Times New Roman" w:hAnsi="Times New Roman" w:cs="Times New Roman"/>
          <w:sz w:val="24"/>
          <w:szCs w:val="24"/>
        </w:rPr>
        <w:t>Данная подпрограмма включает два программных мероприятия, в том числе:</w:t>
      </w:r>
    </w:p>
    <w:p w:rsidR="00BE701A" w:rsidRPr="00BE701A" w:rsidRDefault="00B83C8C" w:rsidP="00BE7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E701A" w:rsidRPr="00BE701A">
        <w:rPr>
          <w:rFonts w:ascii="Times New Roman" w:hAnsi="Times New Roman" w:cs="Times New Roman"/>
          <w:sz w:val="24"/>
          <w:szCs w:val="24"/>
        </w:rPr>
        <w:t>реализация мероприятий по привлечению молодежных общественных организаций с объемом финансирования 1799,6 тыс. рублей. Мероприятие предусматривает проведение конкурсов молодежных проектов различной направленности, с дальнейшей поддержкой семи проектов-победителей;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-организация и проведение мероприятий по реализации государственной подпрограммы с объемом плановых назначений – 2268,5 тыс. рублей. В рамках данного мероприятия проводятся областные мероприятия по основным направлениям реализации государственной молодежной политики.</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все установленные показатели (индикаторы) результативности по вышеперечисленным мероприятиям достигнуты.</w:t>
      </w:r>
    </w:p>
    <w:p w:rsidR="00BE701A" w:rsidRPr="00BE701A" w:rsidRDefault="00BE701A" w:rsidP="00BE701A">
      <w:pPr>
        <w:pStyle w:val="afa"/>
        <w:numPr>
          <w:ilvl w:val="0"/>
          <w:numId w:val="6"/>
        </w:numPr>
        <w:ind w:left="0" w:firstLine="709"/>
        <w:jc w:val="both"/>
        <w:rPr>
          <w:i/>
          <w:sz w:val="24"/>
          <w:szCs w:val="24"/>
        </w:rPr>
      </w:pPr>
      <w:r w:rsidRPr="00BE701A">
        <w:rPr>
          <w:i/>
          <w:sz w:val="24"/>
          <w:szCs w:val="24"/>
        </w:rPr>
        <w:t>Подпрограмма «Обеспечение реализации государственной программы «Развитие образования Амурской области на 2014–2020 годы» и прочие мероприятия в области образования»</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lastRenderedPageBreak/>
        <w:t>Бюджетные ассигнования по подпрограмме «Обеспечение реализации государственной программы «Развитие образования Амурской области на 2014–2020 годы» и прочие мероприятия в области образования» утверждены в расходах областного бюджета в сумме 51334,0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Уровень исполнения расходов, предусмотренных на реализацию мероприятий подпрограммы, составил 96,4 процента (объем неисполненных ассигнований составил </w:t>
      </w:r>
      <w:r w:rsidRPr="00BE701A">
        <w:rPr>
          <w:rFonts w:ascii="Times New Roman" w:hAnsi="Times New Roman" w:cs="Times New Roman"/>
          <w:sz w:val="24"/>
          <w:szCs w:val="24"/>
        </w:rPr>
        <w:br/>
        <w:t>1825,7 тыс. рублей).</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Подпрограммой предусмотрена реализация трех мероприятий, в том числе:</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xml:space="preserve">- финансовое обеспечение функций министерства образования и науки Амурской области в сумме 35385,9 тыс. рублей, исполнение составило 35316,2 тыс. рублей, или </w:t>
      </w:r>
      <w:r w:rsidRPr="00BE701A">
        <w:rPr>
          <w:rFonts w:ascii="Times New Roman" w:hAnsi="Times New Roman" w:cs="Times New Roman"/>
          <w:sz w:val="24"/>
          <w:szCs w:val="24"/>
        </w:rPr>
        <w:br/>
        <w:t>99,8 процента;</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финансовое обеспечение деятельности государственного бюджетного учреждения Амурской области «Централизованная бухгалтерия министерства образования и науки Амурской области» в сумме 8367,6 тыс. рублей, исполнение составило 100,0 процентов;</w:t>
      </w:r>
    </w:p>
    <w:p w:rsid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в сумме 7580,4 тыс. рублей, исполнение 76,8 процента.</w:t>
      </w:r>
    </w:p>
    <w:p w:rsidR="006611D7" w:rsidRDefault="006611D7" w:rsidP="006611D7">
      <w:pPr>
        <w:spacing w:after="0" w:line="240" w:lineRule="auto"/>
        <w:ind w:firstLine="709"/>
        <w:jc w:val="both"/>
        <w:rPr>
          <w:rFonts w:ascii="Times New Roman" w:hAnsi="Times New Roman" w:cs="Times New Roman"/>
          <w:sz w:val="24"/>
          <w:szCs w:val="24"/>
        </w:rPr>
      </w:pPr>
      <w:r w:rsidRPr="00E40729">
        <w:rPr>
          <w:rFonts w:ascii="Times New Roman" w:hAnsi="Times New Roman" w:cs="Times New Roman"/>
          <w:sz w:val="24"/>
          <w:szCs w:val="24"/>
        </w:rPr>
        <w:t>Согласно сводному годовому докладу о ходе реализации и об оценке эффективности государственных программ области, представленному одновременно с годовым отчетом об исполнении областного бюджета за 2017 год, государственная программа «Развитие образования Амурской области на 2014-2020 годы» признана эффективной. Все установленные показатели (индикаторы) результативности реализации государственной программы достигнуты с уровнем 100,0 процентов и выше</w:t>
      </w:r>
      <w:r>
        <w:rPr>
          <w:rFonts w:ascii="Times New Roman" w:hAnsi="Times New Roman" w:cs="Times New Roman"/>
          <w:sz w:val="24"/>
          <w:szCs w:val="24"/>
        </w:rPr>
        <w:t>,</w:t>
      </w:r>
      <w:r w:rsidRPr="00E40729">
        <w:rPr>
          <w:rFonts w:ascii="Times New Roman" w:hAnsi="Times New Roman" w:cs="Times New Roman"/>
          <w:sz w:val="24"/>
          <w:szCs w:val="24"/>
        </w:rPr>
        <w:t xml:space="preserve"> за ис</w:t>
      </w:r>
      <w:r>
        <w:rPr>
          <w:rFonts w:ascii="Times New Roman" w:hAnsi="Times New Roman" w:cs="Times New Roman"/>
          <w:sz w:val="24"/>
          <w:szCs w:val="24"/>
        </w:rPr>
        <w:t>ключением такого показателя как у</w:t>
      </w:r>
      <w:r w:rsidRPr="00E40729">
        <w:rPr>
          <w:rFonts w:ascii="Times New Roman" w:hAnsi="Times New Roman" w:cs="Times New Roman"/>
          <w:sz w:val="24"/>
          <w:szCs w:val="24"/>
        </w:rPr>
        <w:t>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 уровень достижения данного показателя составил 91,0 процент.</w:t>
      </w:r>
    </w:p>
    <w:p w:rsidR="00BE701A" w:rsidRPr="00BE701A" w:rsidRDefault="00BE701A" w:rsidP="00BE701A">
      <w:pPr>
        <w:spacing w:after="0" w:line="240" w:lineRule="auto"/>
        <w:ind w:firstLine="709"/>
        <w:jc w:val="both"/>
        <w:rPr>
          <w:rFonts w:ascii="Times New Roman" w:hAnsi="Times New Roman" w:cs="Times New Roman"/>
          <w:sz w:val="24"/>
          <w:szCs w:val="24"/>
        </w:rPr>
      </w:pPr>
      <w:r w:rsidRPr="00BE701A">
        <w:rPr>
          <w:rFonts w:ascii="Times New Roman" w:hAnsi="Times New Roman" w:cs="Times New Roman"/>
          <w:sz w:val="24"/>
          <w:szCs w:val="24"/>
        </w:rPr>
        <w:t>Информация о расходах государственной программы «Развитие образования Амурской области на 2014-2020 годы» за 2017 год по основным направлениям деятельности представлена на рисунке</w:t>
      </w:r>
      <w:r w:rsidR="00B83C8C">
        <w:rPr>
          <w:rFonts w:ascii="Times New Roman" w:hAnsi="Times New Roman" w:cs="Times New Roman"/>
          <w:sz w:val="24"/>
          <w:szCs w:val="24"/>
        </w:rPr>
        <w:t xml:space="preserve"> 32</w:t>
      </w:r>
      <w:r w:rsidRPr="00BE701A">
        <w:rPr>
          <w:rFonts w:ascii="Times New Roman" w:hAnsi="Times New Roman" w:cs="Times New Roman"/>
          <w:sz w:val="24"/>
          <w:szCs w:val="24"/>
        </w:rPr>
        <w:t>.</w:t>
      </w:r>
    </w:p>
    <w:p w:rsidR="008D63A5" w:rsidRDefault="008D63A5" w:rsidP="008D63A5">
      <w:pPr>
        <w:spacing w:after="0" w:line="240" w:lineRule="auto"/>
        <w:ind w:firstLine="709"/>
        <w:jc w:val="both"/>
        <w:rPr>
          <w:rFonts w:ascii="Times New Roman" w:eastAsia="Times New Roman" w:hAnsi="Times New Roman" w:cs="Times New Roman"/>
          <w:b/>
          <w:sz w:val="24"/>
          <w:szCs w:val="24"/>
          <w:lang w:eastAsia="ru-RU"/>
        </w:rPr>
      </w:pPr>
    </w:p>
    <w:p w:rsidR="008D63A5" w:rsidRPr="00820AE7" w:rsidRDefault="008D63A5" w:rsidP="008D63A5">
      <w:pPr>
        <w:spacing w:after="0" w:line="240" w:lineRule="auto"/>
        <w:ind w:firstLine="709"/>
        <w:jc w:val="both"/>
        <w:rPr>
          <w:rFonts w:ascii="Times New Roman" w:hAnsi="Times New Roman" w:cs="Times New Roman"/>
          <w:b/>
          <w:sz w:val="24"/>
          <w:szCs w:val="24"/>
        </w:rPr>
      </w:pPr>
      <w:r w:rsidRPr="00D13E8E">
        <w:rPr>
          <w:rFonts w:ascii="Times New Roman" w:eastAsia="Times New Roman" w:hAnsi="Times New Roman" w:cs="Times New Roman"/>
          <w:b/>
          <w:sz w:val="24"/>
          <w:szCs w:val="24"/>
          <w:lang w:eastAsia="ru-RU"/>
        </w:rPr>
        <w:t>5.1</w:t>
      </w:r>
      <w:r>
        <w:rPr>
          <w:rFonts w:ascii="Times New Roman" w:eastAsia="Times New Roman" w:hAnsi="Times New Roman" w:cs="Times New Roman"/>
          <w:b/>
          <w:sz w:val="24"/>
          <w:szCs w:val="24"/>
          <w:lang w:eastAsia="ru-RU"/>
        </w:rPr>
        <w:t>4</w:t>
      </w:r>
      <w:r w:rsidRPr="00D13E8E">
        <w:rPr>
          <w:rFonts w:ascii="Times New Roman" w:eastAsia="Times New Roman" w:hAnsi="Times New Roman" w:cs="Times New Roman"/>
          <w:b/>
          <w:sz w:val="24"/>
          <w:szCs w:val="24"/>
          <w:lang w:eastAsia="ru-RU"/>
        </w:rPr>
        <w:t>. Исполнение расходов областного бюджета за 201</w:t>
      </w:r>
      <w:r>
        <w:rPr>
          <w:rFonts w:ascii="Times New Roman" w:eastAsia="Times New Roman" w:hAnsi="Times New Roman" w:cs="Times New Roman"/>
          <w:b/>
          <w:sz w:val="24"/>
          <w:szCs w:val="24"/>
          <w:lang w:eastAsia="ru-RU"/>
        </w:rPr>
        <w:t>6</w:t>
      </w:r>
      <w:r w:rsidRPr="00D13E8E">
        <w:rPr>
          <w:rFonts w:ascii="Times New Roman" w:eastAsia="Times New Roman" w:hAnsi="Times New Roman" w:cs="Times New Roman"/>
          <w:b/>
          <w:sz w:val="24"/>
          <w:szCs w:val="24"/>
          <w:lang w:eastAsia="ru-RU"/>
        </w:rPr>
        <w:t xml:space="preserve"> год </w:t>
      </w:r>
      <w:r>
        <w:rPr>
          <w:rFonts w:ascii="Times New Roman" w:eastAsia="Times New Roman" w:hAnsi="Times New Roman" w:cs="Times New Roman"/>
          <w:b/>
          <w:sz w:val="24"/>
          <w:szCs w:val="24"/>
          <w:lang w:eastAsia="ru-RU"/>
        </w:rPr>
        <w:t>по н</w:t>
      </w:r>
      <w:r w:rsidRPr="00820AE7">
        <w:rPr>
          <w:rFonts w:ascii="Times New Roman" w:hAnsi="Times New Roman" w:cs="Times New Roman"/>
          <w:b/>
          <w:sz w:val="24"/>
          <w:szCs w:val="24"/>
        </w:rPr>
        <w:t>епрограммны</w:t>
      </w:r>
      <w:r>
        <w:rPr>
          <w:rFonts w:ascii="Times New Roman" w:hAnsi="Times New Roman" w:cs="Times New Roman"/>
          <w:b/>
          <w:sz w:val="24"/>
          <w:szCs w:val="24"/>
        </w:rPr>
        <w:t>м</w:t>
      </w:r>
      <w:r w:rsidRPr="00820AE7">
        <w:rPr>
          <w:rFonts w:ascii="Times New Roman" w:hAnsi="Times New Roman" w:cs="Times New Roman"/>
          <w:b/>
          <w:sz w:val="24"/>
          <w:szCs w:val="24"/>
        </w:rPr>
        <w:t xml:space="preserve"> расход</w:t>
      </w:r>
      <w:r>
        <w:rPr>
          <w:rFonts w:ascii="Times New Roman" w:hAnsi="Times New Roman" w:cs="Times New Roman"/>
          <w:b/>
          <w:sz w:val="24"/>
          <w:szCs w:val="24"/>
        </w:rPr>
        <w:t>ам</w:t>
      </w:r>
      <w:r w:rsidRPr="00820AE7">
        <w:rPr>
          <w:rFonts w:ascii="Times New Roman" w:hAnsi="Times New Roman" w:cs="Times New Roman"/>
          <w:b/>
          <w:sz w:val="24"/>
          <w:szCs w:val="24"/>
        </w:rPr>
        <w:t xml:space="preserve"> областного бюджета</w:t>
      </w:r>
    </w:p>
    <w:p w:rsidR="008D63A5" w:rsidRPr="001855CC" w:rsidRDefault="008D63A5" w:rsidP="008D63A5">
      <w:pPr>
        <w:spacing w:after="0" w:line="240" w:lineRule="auto"/>
        <w:ind w:firstLine="709"/>
        <w:jc w:val="both"/>
        <w:rPr>
          <w:rFonts w:ascii="Times New Roman" w:hAnsi="Times New Roman" w:cs="Times New Roman"/>
          <w:sz w:val="24"/>
          <w:szCs w:val="24"/>
        </w:rPr>
      </w:pPr>
      <w:r w:rsidRPr="001855CC">
        <w:rPr>
          <w:rFonts w:ascii="Times New Roman" w:hAnsi="Times New Roman" w:cs="Times New Roman"/>
          <w:sz w:val="24"/>
          <w:szCs w:val="24"/>
        </w:rPr>
        <w:t xml:space="preserve">Законом области об областном бюджете на 2017 год и плановый период 2018 и </w:t>
      </w:r>
      <w:r>
        <w:rPr>
          <w:rFonts w:ascii="Times New Roman" w:hAnsi="Times New Roman" w:cs="Times New Roman"/>
          <w:sz w:val="24"/>
          <w:szCs w:val="24"/>
        </w:rPr>
        <w:br/>
      </w:r>
      <w:r w:rsidRPr="001855CC">
        <w:rPr>
          <w:rFonts w:ascii="Times New Roman" w:hAnsi="Times New Roman" w:cs="Times New Roman"/>
          <w:sz w:val="24"/>
          <w:szCs w:val="24"/>
        </w:rPr>
        <w:t>2019 годов непрограммные расходы на 2017 год утверждены в сумме 613365,0 тыс. рублей.</w:t>
      </w:r>
    </w:p>
    <w:p w:rsidR="008D63A5" w:rsidRPr="001855CC" w:rsidRDefault="008D63A5" w:rsidP="008D63A5">
      <w:pPr>
        <w:spacing w:after="0" w:line="240" w:lineRule="auto"/>
        <w:ind w:firstLine="709"/>
        <w:jc w:val="both"/>
        <w:rPr>
          <w:rFonts w:ascii="Times New Roman" w:hAnsi="Times New Roman" w:cs="Times New Roman"/>
          <w:sz w:val="24"/>
          <w:szCs w:val="24"/>
        </w:rPr>
      </w:pPr>
      <w:r w:rsidRPr="001855CC">
        <w:rPr>
          <w:rFonts w:ascii="Times New Roman" w:hAnsi="Times New Roman" w:cs="Times New Roman"/>
          <w:sz w:val="24"/>
          <w:szCs w:val="24"/>
        </w:rPr>
        <w:t>Согласно бюджетной росписи расходов областного бюджета на 2017 год объем непрограммных расходов утвержден в сумме 624055,6</w:t>
      </w:r>
      <w:r w:rsidRPr="001855CC">
        <w:rPr>
          <w:rFonts w:ascii="Times New Roman" w:hAnsi="Times New Roman" w:cs="Times New Roman"/>
          <w:b/>
          <w:sz w:val="24"/>
          <w:szCs w:val="24"/>
        </w:rPr>
        <w:t xml:space="preserve"> </w:t>
      </w:r>
      <w:r w:rsidRPr="001855CC">
        <w:rPr>
          <w:rFonts w:ascii="Times New Roman" w:hAnsi="Times New Roman" w:cs="Times New Roman"/>
          <w:sz w:val="24"/>
          <w:szCs w:val="24"/>
        </w:rPr>
        <w:t xml:space="preserve">тыс. рублей. </w:t>
      </w:r>
    </w:p>
    <w:p w:rsidR="008D63A5" w:rsidRPr="006C144D" w:rsidRDefault="008D63A5" w:rsidP="008D63A5">
      <w:pPr>
        <w:spacing w:after="0" w:line="240" w:lineRule="auto"/>
        <w:ind w:firstLine="709"/>
        <w:jc w:val="both"/>
        <w:rPr>
          <w:rFonts w:ascii="Times New Roman" w:hAnsi="Times New Roman" w:cs="Times New Roman"/>
          <w:sz w:val="24"/>
          <w:szCs w:val="24"/>
        </w:rPr>
      </w:pPr>
      <w:r w:rsidRPr="006C144D">
        <w:rPr>
          <w:rFonts w:ascii="Times New Roman" w:hAnsi="Times New Roman" w:cs="Times New Roman"/>
          <w:sz w:val="24"/>
          <w:szCs w:val="24"/>
        </w:rPr>
        <w:t>Общий объем ассигнований, предусмотренный сводной бюджетной росписью расходов, больше объема ассигнований, утвержденных законом области об областном бюджете, на 10690,6 тыс. рублей, или 1,7 процента.</w:t>
      </w:r>
    </w:p>
    <w:p w:rsidR="00BE701A" w:rsidRPr="00E40729" w:rsidRDefault="00BE701A" w:rsidP="00BE701A">
      <w:pPr>
        <w:spacing w:after="0"/>
        <w:ind w:firstLine="709"/>
        <w:jc w:val="both"/>
        <w:rPr>
          <w:rFonts w:ascii="Times New Roman" w:hAnsi="Times New Roman" w:cs="Times New Roman"/>
          <w:sz w:val="24"/>
          <w:szCs w:val="24"/>
        </w:rPr>
      </w:pPr>
    </w:p>
    <w:p w:rsidR="00BE701A" w:rsidRPr="002F57C3" w:rsidRDefault="00BE701A" w:rsidP="00BE701A">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DA25237" wp14:editId="573908A2">
            <wp:extent cx="6254496" cy="475488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E701A" w:rsidRDefault="00BE701A" w:rsidP="00B83C8C">
      <w:pPr>
        <w:spacing w:after="120"/>
        <w:ind w:firstLine="709"/>
        <w:jc w:val="center"/>
        <w:rPr>
          <w:rFonts w:ascii="Times New Roman" w:hAnsi="Times New Roman" w:cs="Times New Roman"/>
          <w:b/>
          <w:sz w:val="24"/>
          <w:szCs w:val="24"/>
        </w:rPr>
      </w:pPr>
      <w:r w:rsidRPr="002F57C3">
        <w:rPr>
          <w:rFonts w:ascii="Times New Roman" w:hAnsi="Times New Roman" w:cs="Times New Roman"/>
          <w:b/>
          <w:sz w:val="24"/>
          <w:szCs w:val="24"/>
        </w:rPr>
        <w:t>Рис.</w:t>
      </w:r>
      <w:r w:rsidR="00B83C8C">
        <w:rPr>
          <w:rFonts w:ascii="Times New Roman" w:hAnsi="Times New Roman" w:cs="Times New Roman"/>
          <w:b/>
          <w:sz w:val="24"/>
          <w:szCs w:val="24"/>
        </w:rPr>
        <w:t xml:space="preserve"> 32</w:t>
      </w:r>
      <w:r w:rsidRPr="002F57C3">
        <w:rPr>
          <w:rFonts w:ascii="Times New Roman" w:hAnsi="Times New Roman" w:cs="Times New Roman"/>
          <w:b/>
          <w:sz w:val="24"/>
          <w:szCs w:val="24"/>
        </w:rPr>
        <w:t xml:space="preserve"> </w:t>
      </w:r>
      <w:r w:rsidR="00B83C8C">
        <w:rPr>
          <w:rFonts w:ascii="Times New Roman" w:hAnsi="Times New Roman" w:cs="Times New Roman"/>
          <w:b/>
          <w:sz w:val="24"/>
          <w:szCs w:val="24"/>
        </w:rPr>
        <w:t>-</w:t>
      </w:r>
      <w:r w:rsidRPr="002F57C3">
        <w:rPr>
          <w:rFonts w:ascii="Times New Roman" w:hAnsi="Times New Roman" w:cs="Times New Roman"/>
          <w:b/>
          <w:sz w:val="24"/>
          <w:szCs w:val="24"/>
        </w:rPr>
        <w:t xml:space="preserve"> основные направления расходов областного бюджета по государственной программе «Развитие образования Амурской области </w:t>
      </w:r>
      <w:r w:rsidR="008D63A5">
        <w:rPr>
          <w:rFonts w:ascii="Times New Roman" w:hAnsi="Times New Roman" w:cs="Times New Roman"/>
          <w:b/>
          <w:sz w:val="24"/>
          <w:szCs w:val="24"/>
        </w:rPr>
        <w:br/>
      </w:r>
      <w:r w:rsidRPr="002F57C3">
        <w:rPr>
          <w:rFonts w:ascii="Times New Roman" w:hAnsi="Times New Roman" w:cs="Times New Roman"/>
          <w:b/>
          <w:sz w:val="24"/>
          <w:szCs w:val="24"/>
        </w:rPr>
        <w:t>на 2014-2020 годы»</w:t>
      </w:r>
      <w:r>
        <w:rPr>
          <w:rFonts w:ascii="Times New Roman" w:hAnsi="Times New Roman" w:cs="Times New Roman"/>
          <w:b/>
          <w:sz w:val="24"/>
          <w:szCs w:val="24"/>
        </w:rPr>
        <w:t xml:space="preserve"> (млн. рублей)</w:t>
      </w:r>
    </w:p>
    <w:p w:rsidR="00BE701A" w:rsidRPr="006C144D" w:rsidRDefault="00BE701A" w:rsidP="00FF2D86">
      <w:pPr>
        <w:spacing w:after="0" w:line="240" w:lineRule="auto"/>
        <w:ind w:firstLine="709"/>
        <w:jc w:val="both"/>
        <w:rPr>
          <w:rFonts w:ascii="Times New Roman" w:hAnsi="Times New Roman" w:cs="Times New Roman"/>
          <w:sz w:val="24"/>
          <w:szCs w:val="24"/>
        </w:rPr>
      </w:pPr>
      <w:r w:rsidRPr="006C144D">
        <w:rPr>
          <w:rFonts w:ascii="Times New Roman" w:hAnsi="Times New Roman" w:cs="Times New Roman"/>
          <w:sz w:val="24"/>
          <w:szCs w:val="24"/>
        </w:rPr>
        <w:t>В сводную бюджетную роспись, без внесения изменений в закон о бюджете, внесены изменения по следующим расходам:</w:t>
      </w:r>
    </w:p>
    <w:p w:rsidR="00BE701A" w:rsidRPr="004B6BD2" w:rsidRDefault="00BE701A" w:rsidP="00FF2D86">
      <w:pPr>
        <w:spacing w:after="0" w:line="240" w:lineRule="auto"/>
        <w:ind w:firstLine="709"/>
        <w:jc w:val="both"/>
        <w:rPr>
          <w:rFonts w:ascii="Times New Roman" w:hAnsi="Times New Roman" w:cs="Times New Roman"/>
          <w:sz w:val="24"/>
          <w:szCs w:val="24"/>
        </w:rPr>
      </w:pPr>
      <w:r w:rsidRPr="004B6BD2">
        <w:rPr>
          <w:rFonts w:ascii="Times New Roman" w:hAnsi="Times New Roman" w:cs="Times New Roman"/>
          <w:sz w:val="24"/>
          <w:szCs w:val="24"/>
        </w:rPr>
        <w:t>-на обеспечение деятельности депутатов Государственной Думы и их помощников в избирательных округах в сумме 5347,3 тыс. рублей;</w:t>
      </w:r>
    </w:p>
    <w:p w:rsidR="00BE701A" w:rsidRPr="004B6BD2" w:rsidRDefault="00BE701A" w:rsidP="00FF2D86">
      <w:pPr>
        <w:spacing w:after="0" w:line="240" w:lineRule="auto"/>
        <w:ind w:firstLine="709"/>
        <w:jc w:val="both"/>
        <w:rPr>
          <w:rFonts w:ascii="Times New Roman" w:hAnsi="Times New Roman" w:cs="Times New Roman"/>
          <w:sz w:val="24"/>
          <w:szCs w:val="24"/>
        </w:rPr>
      </w:pPr>
      <w:r w:rsidRPr="004B6BD2">
        <w:rPr>
          <w:rFonts w:ascii="Times New Roman" w:hAnsi="Times New Roman" w:cs="Times New Roman"/>
          <w:sz w:val="24"/>
          <w:szCs w:val="24"/>
        </w:rPr>
        <w:t>-на обеспечение членов Совета Федерации и их помощников в субъектах Российской Федерации в сумме 4157,7 тыс. рублей;</w:t>
      </w:r>
    </w:p>
    <w:p w:rsidR="00BE701A" w:rsidRPr="005722CE" w:rsidRDefault="00BE701A" w:rsidP="00FF2D86">
      <w:pPr>
        <w:spacing w:after="0" w:line="240" w:lineRule="auto"/>
        <w:ind w:firstLine="709"/>
        <w:jc w:val="both"/>
        <w:rPr>
          <w:rFonts w:ascii="Times New Roman" w:hAnsi="Times New Roman" w:cs="Times New Roman"/>
          <w:sz w:val="24"/>
          <w:szCs w:val="24"/>
        </w:rPr>
      </w:pPr>
      <w:r w:rsidRPr="005722CE">
        <w:rPr>
          <w:rFonts w:ascii="Times New Roman" w:hAnsi="Times New Roman" w:cs="Times New Roman"/>
          <w:sz w:val="24"/>
          <w:szCs w:val="24"/>
        </w:rPr>
        <w:t>-на оплату проезда отдельным категориям граждан за счет средств добровольных взносов и пожертвований в сумме 27,0 тыс. рублей;</w:t>
      </w:r>
    </w:p>
    <w:p w:rsidR="00BE701A" w:rsidRPr="004B6BD2" w:rsidRDefault="00BE701A" w:rsidP="00FF2D86">
      <w:pPr>
        <w:spacing w:after="0" w:line="240" w:lineRule="auto"/>
        <w:ind w:firstLine="709"/>
        <w:jc w:val="both"/>
        <w:rPr>
          <w:rFonts w:ascii="Times New Roman" w:hAnsi="Times New Roman" w:cs="Times New Roman"/>
          <w:sz w:val="24"/>
          <w:szCs w:val="24"/>
        </w:rPr>
      </w:pPr>
      <w:r w:rsidRPr="004B6BD2">
        <w:rPr>
          <w:rFonts w:ascii="Times New Roman" w:hAnsi="Times New Roman" w:cs="Times New Roman"/>
          <w:sz w:val="24"/>
          <w:szCs w:val="24"/>
        </w:rPr>
        <w:t>-на исполнение судебных актов по взысканию денежных средств в сумме 1036,8 тыс. рублей;</w:t>
      </w:r>
    </w:p>
    <w:p w:rsidR="00BE701A" w:rsidRDefault="00BE701A" w:rsidP="00FF2D86">
      <w:pPr>
        <w:spacing w:after="0" w:line="240" w:lineRule="auto"/>
        <w:ind w:firstLine="709"/>
        <w:jc w:val="both"/>
        <w:rPr>
          <w:rFonts w:ascii="Times New Roman" w:hAnsi="Times New Roman" w:cs="Times New Roman"/>
          <w:sz w:val="24"/>
          <w:szCs w:val="24"/>
        </w:rPr>
      </w:pPr>
      <w:r w:rsidRPr="004B6BD2">
        <w:rPr>
          <w:rFonts w:ascii="Times New Roman" w:hAnsi="Times New Roman" w:cs="Times New Roman"/>
          <w:sz w:val="24"/>
          <w:szCs w:val="24"/>
        </w:rPr>
        <w:t>-на реализацию на основании судебных решений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116,8</w:t>
      </w:r>
      <w:r>
        <w:rPr>
          <w:rFonts w:ascii="Times New Roman" w:hAnsi="Times New Roman" w:cs="Times New Roman"/>
          <w:sz w:val="24"/>
          <w:szCs w:val="24"/>
        </w:rPr>
        <w:t xml:space="preserve"> тыс. рублей;</w:t>
      </w:r>
    </w:p>
    <w:p w:rsidR="00BE701A" w:rsidRPr="004B6BD2" w:rsidRDefault="00BE701A" w:rsidP="00FF2D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w:t>
      </w:r>
      <w:r w:rsidRPr="004B6BD2">
        <w:rPr>
          <w:rFonts w:ascii="Times New Roman" w:hAnsi="Times New Roman" w:cs="Times New Roman"/>
          <w:sz w:val="24"/>
          <w:szCs w:val="24"/>
        </w:rPr>
        <w:t>ыплат</w:t>
      </w:r>
      <w:r>
        <w:rPr>
          <w:rFonts w:ascii="Times New Roman" w:hAnsi="Times New Roman" w:cs="Times New Roman"/>
          <w:sz w:val="24"/>
          <w:szCs w:val="24"/>
        </w:rPr>
        <w:t>у</w:t>
      </w:r>
      <w:r w:rsidRPr="004B6BD2">
        <w:rPr>
          <w:rFonts w:ascii="Times New Roman" w:hAnsi="Times New Roman" w:cs="Times New Roman"/>
          <w:sz w:val="24"/>
          <w:szCs w:val="24"/>
        </w:rPr>
        <w:t xml:space="preserve"> по исполнительным листам гражданам, пострадавшим в результате крупномасштабного наводнения за счет средств добровольных взносов и пожертвований</w:t>
      </w:r>
      <w:r>
        <w:rPr>
          <w:rFonts w:ascii="Times New Roman" w:hAnsi="Times New Roman" w:cs="Times New Roman"/>
          <w:sz w:val="24"/>
          <w:szCs w:val="24"/>
        </w:rPr>
        <w:t xml:space="preserve"> в сумме 5,0 тыс. рублей.</w:t>
      </w:r>
    </w:p>
    <w:p w:rsidR="00BE701A" w:rsidRPr="005722CE" w:rsidRDefault="00BE701A" w:rsidP="00FF2D86">
      <w:pPr>
        <w:spacing w:after="0" w:line="240" w:lineRule="auto"/>
        <w:ind w:firstLine="709"/>
        <w:jc w:val="both"/>
        <w:rPr>
          <w:rFonts w:ascii="Times New Roman" w:hAnsi="Times New Roman" w:cs="Times New Roman"/>
          <w:sz w:val="24"/>
          <w:szCs w:val="24"/>
        </w:rPr>
      </w:pPr>
      <w:r w:rsidRPr="005722CE">
        <w:rPr>
          <w:rFonts w:ascii="Times New Roman" w:hAnsi="Times New Roman" w:cs="Times New Roman"/>
          <w:sz w:val="24"/>
          <w:szCs w:val="24"/>
        </w:rPr>
        <w:t xml:space="preserve">Все вышеперечисленные изменения, внесенные в бюджетную роспись расходов без внесения изменений в закон о бюджете, не противоречат положениям статьи </w:t>
      </w:r>
      <w:r w:rsidR="000B66CB">
        <w:rPr>
          <w:rFonts w:ascii="Times New Roman" w:hAnsi="Times New Roman" w:cs="Times New Roman"/>
          <w:sz w:val="24"/>
          <w:szCs w:val="24"/>
        </w:rPr>
        <w:br/>
      </w:r>
      <w:r w:rsidRPr="005722CE">
        <w:rPr>
          <w:rFonts w:ascii="Times New Roman" w:hAnsi="Times New Roman" w:cs="Times New Roman"/>
          <w:sz w:val="24"/>
          <w:szCs w:val="24"/>
        </w:rPr>
        <w:t>217 Бюджетного кодекса Российской Федерации.</w:t>
      </w:r>
    </w:p>
    <w:p w:rsidR="00BE701A" w:rsidRPr="00A75E62" w:rsidRDefault="00BE701A" w:rsidP="00FF2D86">
      <w:pPr>
        <w:spacing w:after="0" w:line="240" w:lineRule="auto"/>
        <w:ind w:firstLine="709"/>
        <w:jc w:val="both"/>
        <w:rPr>
          <w:rFonts w:ascii="Times New Roman" w:hAnsi="Times New Roman" w:cs="Times New Roman"/>
          <w:sz w:val="24"/>
          <w:szCs w:val="24"/>
        </w:rPr>
      </w:pPr>
      <w:r w:rsidRPr="00A75E62">
        <w:rPr>
          <w:rFonts w:ascii="Times New Roman" w:hAnsi="Times New Roman" w:cs="Times New Roman"/>
          <w:sz w:val="24"/>
          <w:szCs w:val="24"/>
        </w:rPr>
        <w:lastRenderedPageBreak/>
        <w:t>Исполнение по расходам, отнесенным к непрограммным, составило 611257,</w:t>
      </w:r>
      <w:r>
        <w:rPr>
          <w:rFonts w:ascii="Times New Roman" w:hAnsi="Times New Roman" w:cs="Times New Roman"/>
          <w:sz w:val="24"/>
          <w:szCs w:val="24"/>
        </w:rPr>
        <w:t>2</w:t>
      </w:r>
      <w:r w:rsidRPr="00A75E62">
        <w:rPr>
          <w:rFonts w:ascii="Times New Roman" w:hAnsi="Times New Roman" w:cs="Times New Roman"/>
          <w:sz w:val="24"/>
          <w:szCs w:val="24"/>
        </w:rPr>
        <w:t xml:space="preserve"> тыс. рублей, или 97,9 процента плановых назначений, утвержденных сводной бюджетной росписью расходов.</w:t>
      </w:r>
    </w:p>
    <w:p w:rsidR="00BE701A" w:rsidRPr="005722CE" w:rsidRDefault="00BE701A" w:rsidP="00FF2D86">
      <w:pPr>
        <w:spacing w:after="0" w:line="240" w:lineRule="auto"/>
        <w:ind w:firstLine="709"/>
        <w:jc w:val="both"/>
        <w:rPr>
          <w:rFonts w:ascii="Times New Roman" w:hAnsi="Times New Roman" w:cs="Times New Roman"/>
          <w:sz w:val="24"/>
          <w:szCs w:val="24"/>
        </w:rPr>
      </w:pPr>
      <w:r w:rsidRPr="005722CE">
        <w:rPr>
          <w:rFonts w:ascii="Times New Roman" w:hAnsi="Times New Roman" w:cs="Times New Roman"/>
          <w:sz w:val="24"/>
          <w:szCs w:val="24"/>
        </w:rPr>
        <w:t>В пакете документов к проекту закона Амурской области «Об исполнении областного бюджета за 2017 год» представлены сведения о численности государственных гражданских служащих области и работников государственных учреждений области с указанием фактических затрат на их содержание (далее – Сведения).</w:t>
      </w:r>
    </w:p>
    <w:p w:rsidR="00BE701A" w:rsidRPr="00274CA0" w:rsidRDefault="00BE701A" w:rsidP="00FF2D86">
      <w:pPr>
        <w:spacing w:after="0" w:line="240" w:lineRule="auto"/>
        <w:ind w:firstLine="709"/>
        <w:jc w:val="both"/>
        <w:rPr>
          <w:rFonts w:ascii="Times New Roman" w:hAnsi="Times New Roman" w:cs="Times New Roman"/>
          <w:sz w:val="24"/>
          <w:szCs w:val="24"/>
        </w:rPr>
      </w:pPr>
      <w:r w:rsidRPr="00274CA0">
        <w:rPr>
          <w:rFonts w:ascii="Times New Roman" w:hAnsi="Times New Roman" w:cs="Times New Roman"/>
          <w:sz w:val="24"/>
          <w:szCs w:val="24"/>
        </w:rPr>
        <w:t>Согласно Сведениям:</w:t>
      </w:r>
    </w:p>
    <w:p w:rsidR="00533502" w:rsidRPr="00BA388E" w:rsidRDefault="00533502" w:rsidP="00533502">
      <w:pPr>
        <w:spacing w:after="0" w:line="240" w:lineRule="auto"/>
        <w:ind w:firstLine="709"/>
        <w:jc w:val="both"/>
        <w:rPr>
          <w:rFonts w:ascii="Times New Roman" w:hAnsi="Times New Roman" w:cs="Times New Roman"/>
          <w:sz w:val="24"/>
          <w:szCs w:val="24"/>
        </w:rPr>
      </w:pPr>
      <w:r w:rsidRPr="00BA388E">
        <w:rPr>
          <w:rFonts w:ascii="Times New Roman" w:hAnsi="Times New Roman" w:cs="Times New Roman"/>
          <w:sz w:val="24"/>
          <w:szCs w:val="24"/>
        </w:rPr>
        <w:t xml:space="preserve">1. Численность государственных гражданских служащих за 2017 год составила </w:t>
      </w:r>
      <w:r w:rsidRPr="00BA388E">
        <w:rPr>
          <w:rFonts w:ascii="Times New Roman" w:hAnsi="Times New Roman" w:cs="Times New Roman"/>
          <w:sz w:val="24"/>
          <w:szCs w:val="24"/>
        </w:rPr>
        <w:br/>
        <w:t>1496 человек при плановом количестве 1560 штатны</w:t>
      </w:r>
      <w:r>
        <w:rPr>
          <w:rFonts w:ascii="Times New Roman" w:hAnsi="Times New Roman" w:cs="Times New Roman"/>
          <w:sz w:val="24"/>
          <w:szCs w:val="24"/>
        </w:rPr>
        <w:t>х</w:t>
      </w:r>
      <w:r w:rsidRPr="00BA388E">
        <w:rPr>
          <w:rFonts w:ascii="Times New Roman" w:hAnsi="Times New Roman" w:cs="Times New Roman"/>
          <w:sz w:val="24"/>
          <w:szCs w:val="24"/>
        </w:rPr>
        <w:t xml:space="preserve"> единиц. </w:t>
      </w:r>
    </w:p>
    <w:p w:rsidR="00533502" w:rsidRPr="00BA388E" w:rsidRDefault="00533502" w:rsidP="00533502">
      <w:pPr>
        <w:spacing w:after="0" w:line="240" w:lineRule="auto"/>
        <w:ind w:firstLine="709"/>
        <w:jc w:val="both"/>
        <w:rPr>
          <w:rFonts w:ascii="Times New Roman" w:hAnsi="Times New Roman" w:cs="Times New Roman"/>
          <w:sz w:val="24"/>
          <w:szCs w:val="24"/>
        </w:rPr>
      </w:pPr>
      <w:r w:rsidRPr="00BA388E">
        <w:rPr>
          <w:rFonts w:ascii="Times New Roman" w:hAnsi="Times New Roman" w:cs="Times New Roman"/>
          <w:sz w:val="24"/>
          <w:szCs w:val="24"/>
        </w:rPr>
        <w:t xml:space="preserve">Плановое количество штатных единиц по отношению к аналогичному показателю за 2016 год увеличилось на 4 единицы в связи с образованием в соответствии с Постановлением губернатора Амурской области от 21.11.2016 № 324 «О структуре исполнительных органов государственной власти Амурской области» государственной инспекции по охране объектов культурного наследия Амурской области. </w:t>
      </w:r>
    </w:p>
    <w:p w:rsidR="00533502" w:rsidRDefault="00533502" w:rsidP="00533502">
      <w:pPr>
        <w:spacing w:after="0" w:line="240" w:lineRule="auto"/>
        <w:ind w:firstLine="709"/>
        <w:jc w:val="both"/>
        <w:rPr>
          <w:rFonts w:ascii="Times New Roman" w:hAnsi="Times New Roman" w:cs="Times New Roman"/>
          <w:sz w:val="24"/>
          <w:szCs w:val="24"/>
        </w:rPr>
      </w:pPr>
      <w:r w:rsidRPr="00BA388E">
        <w:rPr>
          <w:rFonts w:ascii="Times New Roman" w:hAnsi="Times New Roman" w:cs="Times New Roman"/>
          <w:sz w:val="24"/>
          <w:szCs w:val="24"/>
        </w:rPr>
        <w:t xml:space="preserve">Количество вакантных должностей </w:t>
      </w:r>
      <w:r>
        <w:rPr>
          <w:rFonts w:ascii="Times New Roman" w:hAnsi="Times New Roman" w:cs="Times New Roman"/>
          <w:sz w:val="24"/>
          <w:szCs w:val="24"/>
        </w:rPr>
        <w:t xml:space="preserve">за 2017 год </w:t>
      </w:r>
      <w:r w:rsidRPr="00BA388E">
        <w:rPr>
          <w:rFonts w:ascii="Times New Roman" w:hAnsi="Times New Roman" w:cs="Times New Roman"/>
          <w:sz w:val="24"/>
          <w:szCs w:val="24"/>
        </w:rPr>
        <w:t>составило 64 единицы</w:t>
      </w:r>
      <w:r>
        <w:rPr>
          <w:rFonts w:ascii="Times New Roman" w:hAnsi="Times New Roman" w:cs="Times New Roman"/>
          <w:sz w:val="24"/>
          <w:szCs w:val="24"/>
        </w:rPr>
        <w:t xml:space="preserve">, </w:t>
      </w:r>
      <w:r w:rsidRPr="00AA78B5">
        <w:rPr>
          <w:rFonts w:ascii="Times New Roman" w:hAnsi="Times New Roman" w:cs="Times New Roman"/>
          <w:sz w:val="24"/>
          <w:szCs w:val="24"/>
        </w:rPr>
        <w:t>уменьшение данного показателя по о</w:t>
      </w:r>
      <w:r>
        <w:rPr>
          <w:rFonts w:ascii="Times New Roman" w:hAnsi="Times New Roman" w:cs="Times New Roman"/>
          <w:sz w:val="24"/>
          <w:szCs w:val="24"/>
        </w:rPr>
        <w:t>тношению к 2016 году составило 2</w:t>
      </w:r>
      <w:r w:rsidRPr="00AA78B5">
        <w:rPr>
          <w:rFonts w:ascii="Times New Roman" w:hAnsi="Times New Roman" w:cs="Times New Roman"/>
          <w:sz w:val="24"/>
          <w:szCs w:val="24"/>
        </w:rPr>
        <w:t xml:space="preserve"> единиц</w:t>
      </w:r>
      <w:r>
        <w:rPr>
          <w:rFonts w:ascii="Times New Roman" w:hAnsi="Times New Roman" w:cs="Times New Roman"/>
          <w:sz w:val="24"/>
          <w:szCs w:val="24"/>
        </w:rPr>
        <w:t>ы</w:t>
      </w:r>
      <w:r w:rsidRPr="00BA388E">
        <w:rPr>
          <w:rFonts w:ascii="Times New Roman" w:hAnsi="Times New Roman" w:cs="Times New Roman"/>
          <w:sz w:val="24"/>
          <w:szCs w:val="24"/>
        </w:rPr>
        <w:t>.</w:t>
      </w:r>
    </w:p>
    <w:p w:rsidR="00533502" w:rsidRDefault="00533502" w:rsidP="005335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Фактический фонд оплаты труда государственных служащих за 2017 год составил 830028,0 тыс. рублей, с увеличением к аналогичному показателю за 2016 год на </w:t>
      </w:r>
      <w:r>
        <w:rPr>
          <w:rFonts w:ascii="Times New Roman" w:hAnsi="Times New Roman" w:cs="Times New Roman"/>
          <w:sz w:val="24"/>
          <w:szCs w:val="24"/>
        </w:rPr>
        <w:br/>
        <w:t xml:space="preserve">349271,0 тыс. рублей, </w:t>
      </w:r>
      <w:r w:rsidRPr="00533502">
        <w:rPr>
          <w:rFonts w:ascii="Times New Roman" w:hAnsi="Times New Roman" w:cs="Times New Roman"/>
          <w:sz w:val="24"/>
          <w:szCs w:val="24"/>
        </w:rPr>
        <w:t>или 72,6 п</w:t>
      </w:r>
      <w:r>
        <w:rPr>
          <w:rFonts w:ascii="Times New Roman" w:hAnsi="Times New Roman" w:cs="Times New Roman"/>
          <w:sz w:val="24"/>
          <w:szCs w:val="24"/>
        </w:rPr>
        <w:t>роцента.</w:t>
      </w:r>
    </w:p>
    <w:p w:rsidR="00533502" w:rsidRDefault="00533502" w:rsidP="005335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Фактические расходы на оплату труда </w:t>
      </w:r>
      <w:r w:rsidRPr="00BA388E">
        <w:rPr>
          <w:rFonts w:ascii="Times New Roman" w:hAnsi="Times New Roman" w:cs="Times New Roman"/>
          <w:sz w:val="24"/>
          <w:szCs w:val="24"/>
        </w:rPr>
        <w:t xml:space="preserve">одного государственного </w:t>
      </w:r>
      <w:r>
        <w:rPr>
          <w:rFonts w:ascii="Times New Roman" w:hAnsi="Times New Roman" w:cs="Times New Roman"/>
          <w:sz w:val="24"/>
          <w:szCs w:val="24"/>
        </w:rPr>
        <w:t xml:space="preserve">гражданского </w:t>
      </w:r>
      <w:r w:rsidRPr="00BA388E">
        <w:rPr>
          <w:rFonts w:ascii="Times New Roman" w:hAnsi="Times New Roman" w:cs="Times New Roman"/>
          <w:sz w:val="24"/>
          <w:szCs w:val="24"/>
        </w:rPr>
        <w:t>служащего в месяц составил</w:t>
      </w:r>
      <w:r>
        <w:rPr>
          <w:rFonts w:ascii="Times New Roman" w:hAnsi="Times New Roman" w:cs="Times New Roman"/>
          <w:sz w:val="24"/>
          <w:szCs w:val="24"/>
        </w:rPr>
        <w:t>и</w:t>
      </w:r>
      <w:r w:rsidRPr="00BA388E">
        <w:rPr>
          <w:rFonts w:ascii="Times New Roman" w:hAnsi="Times New Roman" w:cs="Times New Roman"/>
          <w:sz w:val="24"/>
          <w:szCs w:val="24"/>
        </w:rPr>
        <w:t xml:space="preserve"> 46,2 тыс. рублей (справочно: по данным Сведений за 2016 год – 25,7 тыс. рублей).</w:t>
      </w:r>
      <w:r>
        <w:rPr>
          <w:rFonts w:ascii="Times New Roman" w:hAnsi="Times New Roman" w:cs="Times New Roman"/>
          <w:sz w:val="24"/>
          <w:szCs w:val="24"/>
        </w:rPr>
        <w:t xml:space="preserve"> По информации министерства финансов Амурской области в Сведениях за 2017 год  фактический фонд оплаты труда государственных служащих представлен с учетом расходов на выплату районного коэффициента и процентной надбавки</w:t>
      </w:r>
      <w:r w:rsidRPr="0071628D">
        <w:rPr>
          <w:rFonts w:ascii="Times New Roman" w:hAnsi="Times New Roman" w:cs="Times New Roman"/>
          <w:sz w:val="24"/>
          <w:szCs w:val="24"/>
        </w:rPr>
        <w:t xml:space="preserve"> к заработной плате</w:t>
      </w:r>
      <w:r>
        <w:rPr>
          <w:rFonts w:ascii="Times New Roman" w:hAnsi="Times New Roman" w:cs="Times New Roman"/>
          <w:sz w:val="24"/>
          <w:szCs w:val="24"/>
        </w:rPr>
        <w:t xml:space="preserve">. В Сведениях за 2016 год фонд оплаты труда государственных гражданских служащих был представлен без учета </w:t>
      </w:r>
      <w:r w:rsidRPr="0071628D">
        <w:rPr>
          <w:rFonts w:ascii="Times New Roman" w:hAnsi="Times New Roman" w:cs="Times New Roman"/>
          <w:sz w:val="24"/>
          <w:szCs w:val="24"/>
        </w:rPr>
        <w:t>районного коэффициента и процентной надбавки к заработной плате</w:t>
      </w:r>
      <w:r>
        <w:rPr>
          <w:rFonts w:ascii="Times New Roman" w:hAnsi="Times New Roman" w:cs="Times New Roman"/>
          <w:sz w:val="24"/>
          <w:szCs w:val="24"/>
        </w:rPr>
        <w:t>.</w:t>
      </w:r>
    </w:p>
    <w:p w:rsidR="00BE701A" w:rsidRPr="00AA78B5" w:rsidRDefault="00BE701A" w:rsidP="00533502">
      <w:pPr>
        <w:spacing w:after="0" w:line="240" w:lineRule="auto"/>
        <w:ind w:firstLine="709"/>
        <w:jc w:val="both"/>
        <w:rPr>
          <w:rFonts w:ascii="Times New Roman" w:hAnsi="Times New Roman" w:cs="Times New Roman"/>
          <w:sz w:val="24"/>
          <w:szCs w:val="24"/>
        </w:rPr>
      </w:pPr>
      <w:r w:rsidRPr="00AA78B5">
        <w:rPr>
          <w:rFonts w:ascii="Times New Roman" w:hAnsi="Times New Roman" w:cs="Times New Roman"/>
          <w:sz w:val="24"/>
          <w:szCs w:val="24"/>
        </w:rPr>
        <w:t>2. Численность работников государственных учреждений, финансируемых из областного бюджета, за 2017 год составила 16207 человек при плановом кол</w:t>
      </w:r>
      <w:r w:rsidR="008D63A5">
        <w:rPr>
          <w:rFonts w:ascii="Times New Roman" w:hAnsi="Times New Roman" w:cs="Times New Roman"/>
          <w:sz w:val="24"/>
          <w:szCs w:val="24"/>
        </w:rPr>
        <w:t>ичестве штатных единиц – 17410.</w:t>
      </w:r>
    </w:p>
    <w:p w:rsidR="00BE701A" w:rsidRPr="00AA78B5" w:rsidRDefault="00BE701A" w:rsidP="00FF2D86">
      <w:pPr>
        <w:spacing w:after="0" w:line="240" w:lineRule="auto"/>
        <w:ind w:firstLine="709"/>
        <w:jc w:val="both"/>
        <w:rPr>
          <w:rFonts w:ascii="Times New Roman" w:hAnsi="Times New Roman" w:cs="Times New Roman"/>
          <w:sz w:val="24"/>
          <w:szCs w:val="24"/>
        </w:rPr>
      </w:pPr>
      <w:r w:rsidRPr="00AA78B5">
        <w:rPr>
          <w:rFonts w:ascii="Times New Roman" w:hAnsi="Times New Roman" w:cs="Times New Roman"/>
          <w:sz w:val="24"/>
          <w:szCs w:val="24"/>
        </w:rPr>
        <w:t>Плановое количество штатных единиц по отношению к аналогичному показателю за 2016</w:t>
      </w:r>
      <w:r w:rsidR="008D63A5">
        <w:rPr>
          <w:rFonts w:ascii="Times New Roman" w:hAnsi="Times New Roman" w:cs="Times New Roman"/>
          <w:sz w:val="24"/>
          <w:szCs w:val="24"/>
        </w:rPr>
        <w:t xml:space="preserve"> год сократилось на 217 единиц.</w:t>
      </w:r>
    </w:p>
    <w:p w:rsidR="00BE701A" w:rsidRDefault="00BE701A" w:rsidP="00FF2D86">
      <w:pPr>
        <w:spacing w:after="0" w:line="240" w:lineRule="auto"/>
        <w:ind w:firstLine="709"/>
        <w:jc w:val="both"/>
        <w:rPr>
          <w:rFonts w:ascii="Times New Roman" w:hAnsi="Times New Roman" w:cs="Times New Roman"/>
          <w:sz w:val="24"/>
          <w:szCs w:val="24"/>
        </w:rPr>
      </w:pPr>
      <w:r w:rsidRPr="00AA78B5">
        <w:rPr>
          <w:rFonts w:ascii="Times New Roman" w:hAnsi="Times New Roman" w:cs="Times New Roman"/>
          <w:sz w:val="24"/>
          <w:szCs w:val="24"/>
        </w:rPr>
        <w:t xml:space="preserve">Количество вакантных должностей </w:t>
      </w:r>
      <w:r>
        <w:rPr>
          <w:rFonts w:ascii="Times New Roman" w:hAnsi="Times New Roman" w:cs="Times New Roman"/>
          <w:sz w:val="24"/>
          <w:szCs w:val="24"/>
        </w:rPr>
        <w:t xml:space="preserve">за 2017 год </w:t>
      </w:r>
      <w:r w:rsidRPr="00AA78B5">
        <w:rPr>
          <w:rFonts w:ascii="Times New Roman" w:hAnsi="Times New Roman" w:cs="Times New Roman"/>
          <w:sz w:val="24"/>
          <w:szCs w:val="24"/>
        </w:rPr>
        <w:t>составило 1203 единицы</w:t>
      </w:r>
      <w:r>
        <w:rPr>
          <w:rFonts w:ascii="Times New Roman" w:hAnsi="Times New Roman" w:cs="Times New Roman"/>
          <w:sz w:val="24"/>
          <w:szCs w:val="24"/>
        </w:rPr>
        <w:t>, уменьшение данного показателя по отношению к 2016 году составило 1120 единиц</w:t>
      </w:r>
      <w:r w:rsidRPr="00AA78B5">
        <w:rPr>
          <w:rFonts w:ascii="Times New Roman" w:hAnsi="Times New Roman" w:cs="Times New Roman"/>
          <w:sz w:val="24"/>
          <w:szCs w:val="24"/>
        </w:rPr>
        <w:t>.</w:t>
      </w:r>
    </w:p>
    <w:p w:rsidR="00BE701A" w:rsidRPr="00AA78B5" w:rsidRDefault="00BE701A" w:rsidP="00FF2D86">
      <w:pPr>
        <w:spacing w:after="0" w:line="240" w:lineRule="auto"/>
        <w:ind w:firstLine="709"/>
        <w:jc w:val="both"/>
        <w:rPr>
          <w:rFonts w:ascii="Times New Roman" w:hAnsi="Times New Roman" w:cs="Times New Roman"/>
          <w:sz w:val="24"/>
          <w:szCs w:val="24"/>
        </w:rPr>
      </w:pPr>
      <w:r w:rsidRPr="00AA78B5">
        <w:rPr>
          <w:rFonts w:ascii="Times New Roman" w:hAnsi="Times New Roman" w:cs="Times New Roman"/>
          <w:sz w:val="24"/>
          <w:szCs w:val="24"/>
        </w:rPr>
        <w:t>Фактический фонд оплаты труда на одного работника в месяц составил 22,7 тыс. рублей (справочно: по данным Сведений за 2016 год – 22,3 тыс. рублей).</w:t>
      </w:r>
    </w:p>
    <w:p w:rsidR="00BE701A" w:rsidRPr="009D79E2" w:rsidRDefault="00BE701A" w:rsidP="00FF2D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D79E2">
        <w:rPr>
          <w:rFonts w:ascii="Times New Roman" w:hAnsi="Times New Roman" w:cs="Times New Roman"/>
          <w:sz w:val="24"/>
          <w:szCs w:val="24"/>
        </w:rPr>
        <w:t>а отчетный период была сокращена штатная численность работников государственных учреждений, вследствие чего наблюдается уменьшение количества вакантных должностей, при этом средняя заработная плата на одного работника госучреждения в отчетном периоде по отношению к аналогичному показателю за предшествующий отчетный п</w:t>
      </w:r>
      <w:r w:rsidR="008D63A5">
        <w:rPr>
          <w:rFonts w:ascii="Times New Roman" w:hAnsi="Times New Roman" w:cs="Times New Roman"/>
          <w:sz w:val="24"/>
          <w:szCs w:val="24"/>
        </w:rPr>
        <w:t>ериод изменилась незначительно.</w:t>
      </w:r>
    </w:p>
    <w:p w:rsidR="00533502" w:rsidRDefault="00533502" w:rsidP="00BE701A">
      <w:pPr>
        <w:spacing w:after="0"/>
        <w:ind w:firstLine="709"/>
        <w:jc w:val="both"/>
        <w:rPr>
          <w:rFonts w:ascii="Times New Roman" w:hAnsi="Times New Roman" w:cs="Times New Roman"/>
          <w:sz w:val="24"/>
          <w:szCs w:val="24"/>
        </w:rPr>
      </w:pPr>
    </w:p>
    <w:p w:rsidR="000B66CB" w:rsidRPr="0084096F" w:rsidRDefault="000B66CB" w:rsidP="000B66CB">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5.15 </w:t>
      </w:r>
      <w:r w:rsidRPr="0084096F">
        <w:rPr>
          <w:rFonts w:ascii="Times New Roman" w:eastAsia="Calibri" w:hAnsi="Times New Roman" w:cs="Times New Roman"/>
          <w:b/>
          <w:sz w:val="24"/>
          <w:szCs w:val="24"/>
        </w:rPr>
        <w:t>Исполнение областного бюджета в 201</w:t>
      </w:r>
      <w:r>
        <w:rPr>
          <w:rFonts w:ascii="Times New Roman" w:eastAsia="Calibri" w:hAnsi="Times New Roman" w:cs="Times New Roman"/>
          <w:b/>
          <w:sz w:val="24"/>
          <w:szCs w:val="24"/>
        </w:rPr>
        <w:t>7</w:t>
      </w:r>
      <w:r w:rsidRPr="0084096F">
        <w:rPr>
          <w:rFonts w:ascii="Times New Roman" w:eastAsia="Calibri" w:hAnsi="Times New Roman" w:cs="Times New Roman"/>
          <w:b/>
          <w:sz w:val="24"/>
          <w:szCs w:val="24"/>
        </w:rPr>
        <w:t xml:space="preserve">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w:t>
      </w:r>
    </w:p>
    <w:p w:rsidR="000B66CB" w:rsidRPr="0084096F" w:rsidRDefault="000B66CB" w:rsidP="000B66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096F">
        <w:rPr>
          <w:rFonts w:ascii="Times New Roman" w:eastAsia="Calibri" w:hAnsi="Times New Roman" w:cs="Times New Roman"/>
          <w:sz w:val="24"/>
          <w:szCs w:val="24"/>
        </w:rPr>
        <w:t xml:space="preserve">В соответствии со статьей 11 Закона Амурской области от 05.09.2007 № 374-ОЗ </w:t>
      </w:r>
      <w:r w:rsidRPr="0084096F">
        <w:rPr>
          <w:rFonts w:ascii="Times New Roman" w:eastAsia="Calibri" w:hAnsi="Times New Roman" w:cs="Times New Roman"/>
          <w:sz w:val="24"/>
          <w:szCs w:val="24"/>
        </w:rPr>
        <w:br/>
        <w:t>«Об инвестиционной деятельности в Амурской области» расходы на финансирование государственных инвестиций предусматриваются в областном бюджете при условии, что эти расходы являются частью расходов на реализацию государственных программ области, а также на основании нормативных правовых актов Правительства области.</w:t>
      </w:r>
    </w:p>
    <w:p w:rsidR="000B66CB" w:rsidRPr="00504A04" w:rsidRDefault="000B66CB" w:rsidP="000B66CB">
      <w:pPr>
        <w:widowControl w:val="0"/>
        <w:tabs>
          <w:tab w:val="left" w:pos="540"/>
        </w:tabs>
        <w:spacing w:after="0" w:line="240" w:lineRule="auto"/>
        <w:ind w:firstLine="709"/>
        <w:jc w:val="both"/>
        <w:rPr>
          <w:rFonts w:ascii="Times New Roman" w:eastAsia="Calibri" w:hAnsi="Times New Roman" w:cs="Times New Roman"/>
          <w:bCs/>
          <w:iCs/>
          <w:sz w:val="24"/>
          <w:szCs w:val="24"/>
        </w:rPr>
      </w:pPr>
      <w:r w:rsidRPr="0084096F">
        <w:rPr>
          <w:rFonts w:ascii="Times New Roman" w:eastAsia="Calibri" w:hAnsi="Times New Roman" w:cs="Times New Roman"/>
          <w:bCs/>
          <w:iCs/>
          <w:sz w:val="24"/>
          <w:szCs w:val="24"/>
        </w:rPr>
        <w:t xml:space="preserve">Согласно представленным в составе законопроекта «Об исполнении областного </w:t>
      </w:r>
      <w:r w:rsidRPr="0084096F">
        <w:rPr>
          <w:rFonts w:ascii="Times New Roman" w:eastAsia="Calibri" w:hAnsi="Times New Roman" w:cs="Times New Roman"/>
          <w:bCs/>
          <w:iCs/>
          <w:sz w:val="24"/>
          <w:szCs w:val="24"/>
        </w:rPr>
        <w:lastRenderedPageBreak/>
        <w:t>бюджета за 201</w:t>
      </w:r>
      <w:r>
        <w:rPr>
          <w:rFonts w:ascii="Times New Roman" w:eastAsia="Calibri" w:hAnsi="Times New Roman" w:cs="Times New Roman"/>
          <w:bCs/>
          <w:iCs/>
          <w:sz w:val="24"/>
          <w:szCs w:val="24"/>
        </w:rPr>
        <w:t>7</w:t>
      </w:r>
      <w:r w:rsidRPr="0084096F">
        <w:rPr>
          <w:rFonts w:ascii="Times New Roman" w:eastAsia="Calibri" w:hAnsi="Times New Roman" w:cs="Times New Roman"/>
          <w:bCs/>
          <w:iCs/>
          <w:sz w:val="24"/>
          <w:szCs w:val="24"/>
        </w:rPr>
        <w:t xml:space="preserve"> год</w:t>
      </w:r>
      <w:r w:rsidRPr="0084096F">
        <w:rPr>
          <w:rFonts w:ascii="Times New Roman" w:eastAsia="Calibri" w:hAnsi="Times New Roman" w:cs="Times New Roman"/>
          <w:sz w:val="24"/>
          <w:szCs w:val="24"/>
        </w:rPr>
        <w:t xml:space="preserve">» </w:t>
      </w:r>
      <w:r w:rsidRPr="0084096F">
        <w:rPr>
          <w:rFonts w:ascii="Times New Roman" w:eastAsia="Calibri" w:hAnsi="Times New Roman" w:cs="Times New Roman"/>
          <w:bCs/>
          <w:iCs/>
          <w:sz w:val="24"/>
          <w:szCs w:val="24"/>
        </w:rPr>
        <w:t xml:space="preserve">приложениям № </w:t>
      </w:r>
      <w:r>
        <w:rPr>
          <w:rFonts w:ascii="Times New Roman" w:eastAsia="Calibri" w:hAnsi="Times New Roman" w:cs="Times New Roman"/>
          <w:bCs/>
          <w:iCs/>
          <w:sz w:val="24"/>
          <w:szCs w:val="24"/>
        </w:rPr>
        <w:t>8</w:t>
      </w:r>
      <w:r w:rsidRPr="0084096F">
        <w:rPr>
          <w:rFonts w:ascii="Times New Roman" w:eastAsia="Calibri" w:hAnsi="Times New Roman" w:cs="Times New Roman"/>
          <w:bCs/>
          <w:iCs/>
          <w:sz w:val="24"/>
          <w:szCs w:val="24"/>
        </w:rPr>
        <w:t xml:space="preserve"> «</w:t>
      </w:r>
      <w:r w:rsidRPr="00AC78B6">
        <w:rPr>
          <w:rFonts w:ascii="Times New Roman" w:eastAsia="Calibri" w:hAnsi="Times New Roman" w:cs="Times New Roman"/>
          <w:bCs/>
          <w:iCs/>
          <w:sz w:val="24"/>
          <w:szCs w:val="24"/>
        </w:rPr>
        <w:t>Исполнение по расходам бюджета по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за 2017 год</w:t>
      </w:r>
      <w:r w:rsidRPr="00B34C44">
        <w:rPr>
          <w:rFonts w:ascii="Times New Roman" w:eastAsia="Calibri" w:hAnsi="Times New Roman" w:cs="Times New Roman"/>
          <w:bCs/>
          <w:iCs/>
          <w:sz w:val="24"/>
          <w:szCs w:val="24"/>
        </w:rPr>
        <w:t xml:space="preserve">» и </w:t>
      </w:r>
      <w:r w:rsidRPr="00B34C44">
        <w:rPr>
          <w:rFonts w:ascii="Times New Roman" w:eastAsia="Calibri" w:hAnsi="Times New Roman" w:cs="Times New Roman"/>
          <w:bCs/>
          <w:iCs/>
          <w:sz w:val="24"/>
          <w:szCs w:val="24"/>
        </w:rPr>
        <w:br/>
        <w:t xml:space="preserve">№ </w:t>
      </w:r>
      <w:r>
        <w:rPr>
          <w:rFonts w:ascii="Times New Roman" w:eastAsia="Calibri" w:hAnsi="Times New Roman" w:cs="Times New Roman"/>
          <w:bCs/>
          <w:iCs/>
          <w:sz w:val="24"/>
          <w:szCs w:val="24"/>
        </w:rPr>
        <w:t>9</w:t>
      </w:r>
      <w:r w:rsidRPr="00B34C44">
        <w:rPr>
          <w:rFonts w:ascii="Times New Roman" w:eastAsia="Calibri" w:hAnsi="Times New Roman" w:cs="Times New Roman"/>
          <w:bCs/>
          <w:iCs/>
          <w:sz w:val="24"/>
          <w:szCs w:val="24"/>
        </w:rPr>
        <w:t xml:space="preserve"> «</w:t>
      </w:r>
      <w:r w:rsidRPr="00AC78B6">
        <w:rPr>
          <w:rFonts w:ascii="Times New Roman" w:eastAsia="Calibri" w:hAnsi="Times New Roman" w:cs="Times New Roman"/>
          <w:bCs/>
          <w:iCs/>
          <w:sz w:val="24"/>
          <w:szCs w:val="24"/>
        </w:rPr>
        <w:t xml:space="preserve">Исполнение по главным распорядителям средств областного бюджета, целевым статьям (государственным программам и непрограммным направлениям деятельности) и группам видов расходов в ведомственной структуре расходов областного бюджета за </w:t>
      </w:r>
      <w:r>
        <w:rPr>
          <w:rFonts w:ascii="Times New Roman" w:eastAsia="Calibri" w:hAnsi="Times New Roman" w:cs="Times New Roman"/>
          <w:bCs/>
          <w:iCs/>
          <w:sz w:val="24"/>
          <w:szCs w:val="24"/>
        </w:rPr>
        <w:br/>
      </w:r>
      <w:r w:rsidRPr="00AC78B6">
        <w:rPr>
          <w:rFonts w:ascii="Times New Roman" w:eastAsia="Calibri" w:hAnsi="Times New Roman" w:cs="Times New Roman"/>
          <w:bCs/>
          <w:iCs/>
          <w:sz w:val="24"/>
          <w:szCs w:val="24"/>
        </w:rPr>
        <w:t>2017 год</w:t>
      </w:r>
      <w:r w:rsidRPr="00B34C44">
        <w:rPr>
          <w:rFonts w:ascii="Times New Roman" w:eastAsia="Calibri" w:hAnsi="Times New Roman" w:cs="Times New Roman"/>
          <w:bCs/>
          <w:iCs/>
          <w:sz w:val="24"/>
          <w:szCs w:val="24"/>
        </w:rPr>
        <w:t>» и</w:t>
      </w:r>
      <w:r w:rsidRPr="00B34C44">
        <w:rPr>
          <w:rFonts w:ascii="Times New Roman" w:eastAsia="Calibri" w:hAnsi="Times New Roman" w:cs="Times New Roman"/>
          <w:sz w:val="24"/>
          <w:szCs w:val="24"/>
        </w:rPr>
        <w:t>сполнение областного бюджета в 201</w:t>
      </w:r>
      <w:r>
        <w:rPr>
          <w:rFonts w:ascii="Times New Roman" w:eastAsia="Calibri" w:hAnsi="Times New Roman" w:cs="Times New Roman"/>
          <w:sz w:val="24"/>
          <w:szCs w:val="24"/>
        </w:rPr>
        <w:t>7</w:t>
      </w:r>
      <w:r w:rsidRPr="00B34C44">
        <w:rPr>
          <w:rFonts w:ascii="Times New Roman" w:eastAsia="Calibri" w:hAnsi="Times New Roman" w:cs="Times New Roman"/>
          <w:sz w:val="24"/>
          <w:szCs w:val="24"/>
        </w:rPr>
        <w:t xml:space="preserve"> году в части расходов на осуществление бюджетных инвестиций и предоставление бюджетным и автономным учреждениям субсидий на осуществление </w:t>
      </w:r>
      <w:r w:rsidRPr="00504A04">
        <w:rPr>
          <w:rFonts w:ascii="Times New Roman" w:eastAsia="Calibri" w:hAnsi="Times New Roman" w:cs="Times New Roman"/>
          <w:sz w:val="24"/>
          <w:szCs w:val="24"/>
        </w:rPr>
        <w:t>капитальных вложений в объекты государственной собственности области осуществлено</w:t>
      </w:r>
      <w:r w:rsidRPr="00504A04">
        <w:rPr>
          <w:rFonts w:ascii="Times New Roman" w:eastAsia="Calibri" w:hAnsi="Times New Roman" w:cs="Times New Roman"/>
          <w:bCs/>
          <w:iCs/>
          <w:sz w:val="24"/>
          <w:szCs w:val="24"/>
        </w:rPr>
        <w:t xml:space="preserve"> в рамках шести государственных программ, по расходам четырех главных распорядителей бюджетных средств.</w:t>
      </w:r>
    </w:p>
    <w:p w:rsidR="000B66CB" w:rsidRPr="00504A04" w:rsidRDefault="000B66CB" w:rsidP="000B66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4A04">
        <w:rPr>
          <w:rFonts w:ascii="Times New Roman" w:eastAsia="Calibri" w:hAnsi="Times New Roman" w:cs="Times New Roman"/>
          <w:sz w:val="24"/>
          <w:szCs w:val="24"/>
        </w:rPr>
        <w:t>Решения об осуществлении бюджетных инвестиций в объекты капитального строительства государственной собственности области за счет средств областного бюджета в 2017 году принимались в рамках государственных программ, утвержденных постановлениями Правительства Амурской области.</w:t>
      </w:r>
    </w:p>
    <w:p w:rsidR="000B66CB" w:rsidRPr="00B34C44" w:rsidRDefault="000B66CB" w:rsidP="000B66C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4A04">
        <w:rPr>
          <w:rFonts w:ascii="Times New Roman" w:eastAsia="Calibri" w:hAnsi="Times New Roman" w:cs="Times New Roman"/>
          <w:sz w:val="24"/>
          <w:szCs w:val="24"/>
        </w:rPr>
        <w:t xml:space="preserve">В 2017 году расходы на осуществление бюджетных инвестиций предусмотрены в объеме 1634169,3 тыс. рублей (2015 год - 3314359,2 тыс. рублей, 2016 год - 1372582,4 тыс. рублей), исполнение составило 1450080,1 тыс. рублей (2015 </w:t>
      </w:r>
      <w:r w:rsidRPr="00B34C44">
        <w:rPr>
          <w:rFonts w:ascii="Times New Roman" w:eastAsia="Calibri" w:hAnsi="Times New Roman" w:cs="Times New Roman"/>
          <w:sz w:val="24"/>
          <w:szCs w:val="24"/>
        </w:rPr>
        <w:t>год - 3059803,7 тыс. рублей</w:t>
      </w:r>
      <w:r>
        <w:rPr>
          <w:rFonts w:ascii="Times New Roman" w:eastAsia="Calibri" w:hAnsi="Times New Roman" w:cs="Times New Roman"/>
          <w:sz w:val="24"/>
          <w:szCs w:val="24"/>
        </w:rPr>
        <w:t xml:space="preserve">, 2016 год - </w:t>
      </w:r>
      <w:r w:rsidRPr="00B34C44">
        <w:rPr>
          <w:rFonts w:ascii="Times New Roman" w:eastAsia="Calibri" w:hAnsi="Times New Roman" w:cs="Times New Roman"/>
          <w:sz w:val="24"/>
          <w:szCs w:val="24"/>
        </w:rPr>
        <w:t xml:space="preserve">1306208,2 тыс. рублей), или </w:t>
      </w:r>
      <w:r>
        <w:rPr>
          <w:rFonts w:ascii="Times New Roman" w:eastAsia="Calibri" w:hAnsi="Times New Roman" w:cs="Times New Roman"/>
          <w:sz w:val="24"/>
          <w:szCs w:val="24"/>
        </w:rPr>
        <w:t>88</w:t>
      </w:r>
      <w:r w:rsidRPr="00B34C44">
        <w:rPr>
          <w:rFonts w:ascii="Times New Roman" w:eastAsia="Calibri" w:hAnsi="Times New Roman" w:cs="Times New Roman"/>
          <w:sz w:val="24"/>
          <w:szCs w:val="24"/>
        </w:rPr>
        <w:t>,</w:t>
      </w:r>
      <w:r>
        <w:rPr>
          <w:rFonts w:ascii="Times New Roman" w:eastAsia="Calibri" w:hAnsi="Times New Roman" w:cs="Times New Roman"/>
          <w:sz w:val="24"/>
          <w:szCs w:val="24"/>
        </w:rPr>
        <w:t>7</w:t>
      </w:r>
      <w:r w:rsidRPr="00B34C44">
        <w:rPr>
          <w:rFonts w:ascii="Times New Roman" w:eastAsia="Calibri" w:hAnsi="Times New Roman" w:cs="Times New Roman"/>
          <w:sz w:val="24"/>
          <w:szCs w:val="24"/>
        </w:rPr>
        <w:t xml:space="preserve"> процента. Из общего объема капитальных вложений в объекты государственной собственности расходы по </w:t>
      </w:r>
      <w:r w:rsidRPr="00B34C44">
        <w:rPr>
          <w:rFonts w:ascii="Times New Roman" w:eastAsia="Calibri" w:hAnsi="Times New Roman" w:cs="Times New Roman"/>
          <w:bCs/>
          <w:iCs/>
          <w:sz w:val="24"/>
          <w:szCs w:val="24"/>
        </w:rPr>
        <w:t>строительству и реконструкции автомобильных дорог общего пользования регионального или межмуниципального значения и сооружений на них составили</w:t>
      </w:r>
      <w:r>
        <w:rPr>
          <w:rFonts w:ascii="Times New Roman" w:eastAsia="Calibri" w:hAnsi="Times New Roman" w:cs="Times New Roman"/>
          <w:bCs/>
          <w:iCs/>
          <w:sz w:val="24"/>
          <w:szCs w:val="24"/>
        </w:rPr>
        <w:t xml:space="preserve"> 95,6</w:t>
      </w:r>
      <w:r w:rsidRPr="00B34C44">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процента, или </w:t>
      </w:r>
      <w:r>
        <w:rPr>
          <w:rFonts w:ascii="Times New Roman" w:eastAsia="Calibri" w:hAnsi="Times New Roman" w:cs="Times New Roman"/>
          <w:bCs/>
          <w:iCs/>
          <w:sz w:val="24"/>
          <w:szCs w:val="24"/>
        </w:rPr>
        <w:br/>
      </w:r>
      <w:r w:rsidRPr="00B34C44">
        <w:rPr>
          <w:rFonts w:ascii="Times New Roman" w:eastAsia="Calibri" w:hAnsi="Times New Roman" w:cs="Times New Roman"/>
          <w:bCs/>
          <w:iCs/>
          <w:sz w:val="24"/>
          <w:szCs w:val="24"/>
        </w:rPr>
        <w:t>1</w:t>
      </w:r>
      <w:r>
        <w:rPr>
          <w:rFonts w:ascii="Times New Roman" w:eastAsia="Calibri" w:hAnsi="Times New Roman" w:cs="Times New Roman"/>
          <w:bCs/>
          <w:iCs/>
          <w:sz w:val="24"/>
          <w:szCs w:val="24"/>
        </w:rPr>
        <w:t>386810</w:t>
      </w:r>
      <w:r w:rsidRPr="00B34C44">
        <w:rPr>
          <w:rFonts w:ascii="Times New Roman" w:eastAsia="Calibri" w:hAnsi="Times New Roman" w:cs="Times New Roman"/>
          <w:bCs/>
          <w:iCs/>
          <w:sz w:val="24"/>
          <w:szCs w:val="24"/>
        </w:rPr>
        <w:t>,9 тыс. рублей (2015 год - 2723577,3 тыс. рублей</w:t>
      </w:r>
      <w:r>
        <w:rPr>
          <w:rFonts w:ascii="Times New Roman" w:eastAsia="Calibri" w:hAnsi="Times New Roman" w:cs="Times New Roman"/>
          <w:bCs/>
          <w:iCs/>
          <w:sz w:val="24"/>
          <w:szCs w:val="24"/>
        </w:rPr>
        <w:t xml:space="preserve">, 2016 год - </w:t>
      </w:r>
      <w:r w:rsidRPr="00B34C44">
        <w:rPr>
          <w:rFonts w:ascii="Times New Roman" w:eastAsia="Calibri" w:hAnsi="Times New Roman" w:cs="Times New Roman"/>
          <w:bCs/>
          <w:iCs/>
          <w:sz w:val="24"/>
          <w:szCs w:val="24"/>
        </w:rPr>
        <w:t>1218976,9 тыс. рублей)</w:t>
      </w:r>
      <w:r>
        <w:rPr>
          <w:rFonts w:ascii="Times New Roman" w:eastAsia="Calibri" w:hAnsi="Times New Roman" w:cs="Times New Roman"/>
          <w:bCs/>
          <w:iCs/>
          <w:sz w:val="24"/>
          <w:szCs w:val="24"/>
        </w:rPr>
        <w:t>.</w:t>
      </w:r>
    </w:p>
    <w:p w:rsidR="000B66CB" w:rsidRPr="00B34C44" w:rsidRDefault="000B66CB" w:rsidP="000B66CB">
      <w:pPr>
        <w:spacing w:after="0" w:line="240" w:lineRule="auto"/>
        <w:ind w:firstLine="709"/>
        <w:jc w:val="both"/>
        <w:rPr>
          <w:rFonts w:ascii="Times New Roman" w:eastAsia="Calibri" w:hAnsi="Times New Roman" w:cs="Times New Roman"/>
          <w:sz w:val="24"/>
          <w:szCs w:val="24"/>
        </w:rPr>
      </w:pPr>
      <w:r w:rsidRPr="00B34C44">
        <w:rPr>
          <w:rFonts w:ascii="Times New Roman" w:eastAsia="Calibri" w:hAnsi="Times New Roman" w:cs="Times New Roman"/>
          <w:sz w:val="24"/>
          <w:szCs w:val="24"/>
        </w:rPr>
        <w:t>Средства областного бюджета в 201</w:t>
      </w:r>
      <w:r>
        <w:rPr>
          <w:rFonts w:ascii="Times New Roman" w:eastAsia="Calibri" w:hAnsi="Times New Roman" w:cs="Times New Roman"/>
          <w:sz w:val="24"/>
          <w:szCs w:val="24"/>
        </w:rPr>
        <w:t>7</w:t>
      </w:r>
      <w:r w:rsidRPr="00B34C44">
        <w:rPr>
          <w:rFonts w:ascii="Times New Roman" w:eastAsia="Calibri" w:hAnsi="Times New Roman" w:cs="Times New Roman"/>
          <w:sz w:val="24"/>
          <w:szCs w:val="24"/>
        </w:rPr>
        <w:t xml:space="preserve"> году в части расходов на осуществление бюджетных инвестиций и предоставление бюджетным и автономным учреждениям субсидий на осуществление капитальных вложений в объекты государственной собственности области были предусмотрены и исполнены следующими главными распорядителями бюджетных средств:</w:t>
      </w:r>
    </w:p>
    <w:p w:rsidR="000B66CB" w:rsidRPr="00B34C44" w:rsidRDefault="000B66CB" w:rsidP="000B66CB">
      <w:pPr>
        <w:widowControl w:val="0"/>
        <w:numPr>
          <w:ilvl w:val="0"/>
          <w:numId w:val="2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34C44">
        <w:rPr>
          <w:rFonts w:ascii="Times New Roman" w:eastAsia="Calibri" w:hAnsi="Times New Roman" w:cs="Times New Roman"/>
          <w:b/>
          <w:i/>
          <w:sz w:val="24"/>
          <w:szCs w:val="24"/>
        </w:rPr>
        <w:t xml:space="preserve">Министерство транспорта и строительства Амурской области </w:t>
      </w:r>
    </w:p>
    <w:p w:rsidR="000B66CB" w:rsidRPr="00B34C44" w:rsidRDefault="000B66CB" w:rsidP="000B66CB">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34C44">
        <w:rPr>
          <w:rFonts w:ascii="Times New Roman" w:eastAsia="Calibri" w:hAnsi="Times New Roman" w:cs="Times New Roman"/>
          <w:sz w:val="24"/>
          <w:szCs w:val="24"/>
        </w:rPr>
        <w:t xml:space="preserve">Исполнение расходов на осуществление капитальных вложений в объекты государственной собственности в части расходов на строительство и реконструкцию </w:t>
      </w:r>
      <w:r w:rsidRPr="00B34C44">
        <w:rPr>
          <w:rFonts w:ascii="Times New Roman" w:eastAsia="Calibri" w:hAnsi="Times New Roman" w:cs="Times New Roman"/>
          <w:bCs/>
          <w:iCs/>
          <w:sz w:val="24"/>
          <w:szCs w:val="24"/>
        </w:rPr>
        <w:t>автомобильных дорог общего пользования регионального или межмуниципального значения и сооружений на них, государственным заказчиком по которым выступало ГКУ Амурской области «Амурупрадор», составило 1</w:t>
      </w:r>
      <w:r>
        <w:rPr>
          <w:rFonts w:ascii="Times New Roman" w:eastAsia="Calibri" w:hAnsi="Times New Roman" w:cs="Times New Roman"/>
          <w:bCs/>
          <w:iCs/>
          <w:sz w:val="24"/>
          <w:szCs w:val="24"/>
        </w:rPr>
        <w:t>386810</w:t>
      </w:r>
      <w:r w:rsidRPr="00B34C44">
        <w:rPr>
          <w:rFonts w:ascii="Times New Roman" w:eastAsia="Calibri" w:hAnsi="Times New Roman" w:cs="Times New Roman"/>
          <w:bCs/>
          <w:iCs/>
          <w:sz w:val="24"/>
          <w:szCs w:val="24"/>
        </w:rPr>
        <w:t>,9 тыс. рублей, при предусмотренных объемах 1</w:t>
      </w:r>
      <w:r>
        <w:rPr>
          <w:rFonts w:ascii="Times New Roman" w:eastAsia="Calibri" w:hAnsi="Times New Roman" w:cs="Times New Roman"/>
          <w:bCs/>
          <w:iCs/>
          <w:sz w:val="24"/>
          <w:szCs w:val="24"/>
        </w:rPr>
        <w:t>553812</w:t>
      </w:r>
      <w:r w:rsidRPr="00B34C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0</w:t>
      </w:r>
      <w:r w:rsidRPr="00B34C44">
        <w:rPr>
          <w:rFonts w:ascii="Times New Roman" w:eastAsia="Calibri" w:hAnsi="Times New Roman" w:cs="Times New Roman"/>
          <w:bCs/>
          <w:iCs/>
          <w:sz w:val="24"/>
          <w:szCs w:val="24"/>
        </w:rPr>
        <w:t xml:space="preserve"> тыс. рублей, или </w:t>
      </w:r>
      <w:r>
        <w:rPr>
          <w:rFonts w:ascii="Times New Roman" w:eastAsia="Calibri" w:hAnsi="Times New Roman" w:cs="Times New Roman"/>
          <w:bCs/>
          <w:iCs/>
          <w:sz w:val="24"/>
          <w:szCs w:val="24"/>
        </w:rPr>
        <w:t>8</w:t>
      </w:r>
      <w:r w:rsidRPr="00B34C44">
        <w:rPr>
          <w:rFonts w:ascii="Times New Roman" w:eastAsia="Calibri" w:hAnsi="Times New Roman" w:cs="Times New Roman"/>
          <w:bCs/>
          <w:iCs/>
          <w:sz w:val="24"/>
          <w:szCs w:val="24"/>
        </w:rPr>
        <w:t>9,</w:t>
      </w:r>
      <w:r>
        <w:rPr>
          <w:rFonts w:ascii="Times New Roman" w:eastAsia="Calibri" w:hAnsi="Times New Roman" w:cs="Times New Roman"/>
          <w:bCs/>
          <w:iCs/>
          <w:sz w:val="24"/>
          <w:szCs w:val="24"/>
        </w:rPr>
        <w:t>3</w:t>
      </w:r>
      <w:r w:rsidRPr="00B34C44">
        <w:rPr>
          <w:rFonts w:ascii="Times New Roman" w:eastAsia="Calibri" w:hAnsi="Times New Roman" w:cs="Times New Roman"/>
          <w:bCs/>
          <w:iCs/>
          <w:sz w:val="24"/>
          <w:szCs w:val="24"/>
        </w:rPr>
        <w:t xml:space="preserve"> процента. Наличие неиспользованных остатков денежных средств обусловлено неисполнением подрядчиками обязательств в рамках заключенных государственных контрактов. Расходование средств осуществлялось в рамках государственн</w:t>
      </w:r>
      <w:r>
        <w:rPr>
          <w:rFonts w:ascii="Times New Roman" w:eastAsia="Calibri" w:hAnsi="Times New Roman" w:cs="Times New Roman"/>
          <w:bCs/>
          <w:iCs/>
          <w:sz w:val="24"/>
          <w:szCs w:val="24"/>
        </w:rPr>
        <w:t>ых</w:t>
      </w:r>
      <w:r w:rsidRPr="00B34C44">
        <w:rPr>
          <w:rFonts w:ascii="Times New Roman" w:eastAsia="Calibri" w:hAnsi="Times New Roman" w:cs="Times New Roman"/>
          <w:bCs/>
          <w:iCs/>
          <w:sz w:val="24"/>
          <w:szCs w:val="24"/>
        </w:rPr>
        <w:t xml:space="preserve"> программ Амурской области «Развитие транспортной системы Амурской области на 2014-2020 годы»</w:t>
      </w:r>
      <w:r>
        <w:rPr>
          <w:rFonts w:ascii="Times New Roman" w:eastAsia="Calibri" w:hAnsi="Times New Roman" w:cs="Times New Roman"/>
          <w:bCs/>
          <w:iCs/>
          <w:sz w:val="24"/>
          <w:szCs w:val="24"/>
        </w:rPr>
        <w:t>, «</w:t>
      </w:r>
      <w:r w:rsidRPr="00113E62">
        <w:rPr>
          <w:rFonts w:ascii="Times New Roman" w:eastAsia="Calibri" w:hAnsi="Times New Roman" w:cs="Times New Roman"/>
          <w:bCs/>
          <w:iCs/>
          <w:sz w:val="24"/>
          <w:szCs w:val="24"/>
        </w:rPr>
        <w:t xml:space="preserve">Развитие сельского хозяйства и регулирование рынков сельскохозяйственной продукции, сырья и продовольствия Амурской области на </w:t>
      </w:r>
      <w:r>
        <w:rPr>
          <w:rFonts w:ascii="Times New Roman" w:eastAsia="Calibri" w:hAnsi="Times New Roman" w:cs="Times New Roman"/>
          <w:bCs/>
          <w:iCs/>
          <w:sz w:val="24"/>
          <w:szCs w:val="24"/>
        </w:rPr>
        <w:br/>
      </w:r>
      <w:r w:rsidRPr="00113E62">
        <w:rPr>
          <w:rFonts w:ascii="Times New Roman" w:eastAsia="Calibri" w:hAnsi="Times New Roman" w:cs="Times New Roman"/>
          <w:bCs/>
          <w:iCs/>
          <w:sz w:val="24"/>
          <w:szCs w:val="24"/>
        </w:rPr>
        <w:t>2014-2020 годы</w:t>
      </w:r>
      <w:r>
        <w:rPr>
          <w:rFonts w:ascii="Times New Roman" w:eastAsia="Calibri" w:hAnsi="Times New Roman" w:cs="Times New Roman"/>
          <w:bCs/>
          <w:iCs/>
          <w:sz w:val="24"/>
          <w:szCs w:val="24"/>
        </w:rPr>
        <w:t>»</w:t>
      </w:r>
      <w:r w:rsidRPr="00B34C44">
        <w:rPr>
          <w:rFonts w:ascii="Times New Roman" w:eastAsia="Calibri" w:hAnsi="Times New Roman" w:cs="Times New Roman"/>
          <w:bCs/>
          <w:iCs/>
          <w:sz w:val="24"/>
          <w:szCs w:val="24"/>
        </w:rPr>
        <w:t>.</w:t>
      </w:r>
    </w:p>
    <w:p w:rsidR="000B66CB" w:rsidRDefault="000B66CB" w:rsidP="000B66CB">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B34C44">
        <w:rPr>
          <w:rFonts w:ascii="Times New Roman" w:eastAsia="Calibri" w:hAnsi="Times New Roman" w:cs="Times New Roman"/>
          <w:sz w:val="24"/>
          <w:szCs w:val="24"/>
        </w:rPr>
        <w:t>Исполнение расходов на осуществление капитальных вложений в объекты государственной собственности</w:t>
      </w:r>
      <w:r>
        <w:rPr>
          <w:rFonts w:ascii="Times New Roman" w:eastAsia="Calibri" w:hAnsi="Times New Roman" w:cs="Times New Roman"/>
          <w:sz w:val="24"/>
          <w:szCs w:val="24"/>
        </w:rPr>
        <w:t xml:space="preserve"> области</w:t>
      </w:r>
      <w:r w:rsidRPr="00B34C44">
        <w:rPr>
          <w:rFonts w:ascii="Times New Roman" w:eastAsia="Calibri" w:hAnsi="Times New Roman" w:cs="Times New Roman"/>
          <w:bCs/>
          <w:iCs/>
          <w:sz w:val="24"/>
          <w:szCs w:val="24"/>
        </w:rPr>
        <w:t xml:space="preserve">, государственным заказчиком по которым выступало ГКУ Амурской области «Строитель», составило </w:t>
      </w:r>
      <w:r>
        <w:rPr>
          <w:rFonts w:ascii="Times New Roman" w:eastAsia="Calibri" w:hAnsi="Times New Roman" w:cs="Times New Roman"/>
          <w:bCs/>
          <w:iCs/>
          <w:sz w:val="24"/>
          <w:szCs w:val="24"/>
        </w:rPr>
        <w:t>25146</w:t>
      </w:r>
      <w:r w:rsidRPr="00B34C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8</w:t>
      </w:r>
      <w:r w:rsidRPr="00B34C44">
        <w:rPr>
          <w:rFonts w:ascii="Times New Roman" w:eastAsia="Calibri" w:hAnsi="Times New Roman" w:cs="Times New Roman"/>
          <w:bCs/>
          <w:iCs/>
          <w:sz w:val="24"/>
          <w:szCs w:val="24"/>
        </w:rPr>
        <w:t xml:space="preserve"> тыс. рублей, при предусмотренных объемах </w:t>
      </w:r>
      <w:r>
        <w:rPr>
          <w:rFonts w:ascii="Times New Roman" w:eastAsia="Calibri" w:hAnsi="Times New Roman" w:cs="Times New Roman"/>
          <w:bCs/>
          <w:iCs/>
          <w:sz w:val="24"/>
          <w:szCs w:val="24"/>
        </w:rPr>
        <w:t>37756</w:t>
      </w:r>
      <w:r w:rsidRPr="00B34C44">
        <w:rPr>
          <w:rFonts w:ascii="Times New Roman" w:eastAsia="Calibri" w:hAnsi="Times New Roman" w:cs="Times New Roman"/>
          <w:bCs/>
          <w:iCs/>
          <w:sz w:val="24"/>
          <w:szCs w:val="24"/>
        </w:rPr>
        <w:t>,</w:t>
      </w:r>
      <w:r>
        <w:rPr>
          <w:rFonts w:ascii="Times New Roman" w:eastAsia="Calibri" w:hAnsi="Times New Roman" w:cs="Times New Roman"/>
          <w:bCs/>
          <w:iCs/>
          <w:sz w:val="24"/>
          <w:szCs w:val="24"/>
        </w:rPr>
        <w:t>6</w:t>
      </w:r>
      <w:r w:rsidRPr="00B34C44">
        <w:rPr>
          <w:rFonts w:ascii="Times New Roman" w:eastAsia="Calibri" w:hAnsi="Times New Roman" w:cs="Times New Roman"/>
          <w:bCs/>
          <w:iCs/>
          <w:sz w:val="24"/>
          <w:szCs w:val="24"/>
        </w:rPr>
        <w:t xml:space="preserve"> тыс. рублей. В 201</w:t>
      </w:r>
      <w:r>
        <w:rPr>
          <w:rFonts w:ascii="Times New Roman" w:eastAsia="Calibri" w:hAnsi="Times New Roman" w:cs="Times New Roman"/>
          <w:bCs/>
          <w:iCs/>
          <w:sz w:val="24"/>
          <w:szCs w:val="24"/>
        </w:rPr>
        <w:t>7</w:t>
      </w:r>
      <w:r w:rsidRPr="00B34C44">
        <w:rPr>
          <w:rFonts w:ascii="Times New Roman" w:eastAsia="Calibri" w:hAnsi="Times New Roman" w:cs="Times New Roman"/>
          <w:bCs/>
          <w:iCs/>
          <w:sz w:val="24"/>
          <w:szCs w:val="24"/>
        </w:rPr>
        <w:t xml:space="preserve"> году расходование средств </w:t>
      </w:r>
      <w:r>
        <w:rPr>
          <w:rFonts w:ascii="Times New Roman" w:eastAsia="Calibri" w:hAnsi="Times New Roman" w:cs="Times New Roman"/>
          <w:bCs/>
          <w:iCs/>
          <w:sz w:val="24"/>
          <w:szCs w:val="24"/>
        </w:rPr>
        <w:t>областного бюджета в виде бюджетных инвестиций в объекты государственной собственности осуществлялось в отношении следующих объектов:</w:t>
      </w:r>
    </w:p>
    <w:p w:rsidR="000B66CB" w:rsidRDefault="000B66CB" w:rsidP="000B66CB">
      <w:pPr>
        <w:pStyle w:val="afa"/>
        <w:numPr>
          <w:ilvl w:val="0"/>
          <w:numId w:val="22"/>
        </w:numPr>
        <w:tabs>
          <w:tab w:val="left" w:pos="851"/>
        </w:tabs>
        <w:ind w:left="0" w:firstLine="709"/>
        <w:jc w:val="both"/>
        <w:rPr>
          <w:sz w:val="24"/>
          <w:szCs w:val="24"/>
        </w:rPr>
      </w:pPr>
      <w:r w:rsidRPr="00A869D7">
        <w:rPr>
          <w:b/>
          <w:i/>
          <w:sz w:val="24"/>
          <w:szCs w:val="24"/>
        </w:rPr>
        <w:t>«Малоэтажное быстровозводимое жилье в г. Тында, мкр. Таежный».</w:t>
      </w:r>
      <w:r>
        <w:rPr>
          <w:sz w:val="24"/>
          <w:szCs w:val="24"/>
        </w:rPr>
        <w:t xml:space="preserve"> Строительство о</w:t>
      </w:r>
      <w:r w:rsidRPr="008B3535">
        <w:rPr>
          <w:sz w:val="24"/>
          <w:szCs w:val="24"/>
        </w:rPr>
        <w:t>бъект</w:t>
      </w:r>
      <w:r>
        <w:rPr>
          <w:sz w:val="24"/>
          <w:szCs w:val="24"/>
        </w:rPr>
        <w:t>а осуществлялось в рамках</w:t>
      </w:r>
      <w:r w:rsidRPr="008B3535">
        <w:rPr>
          <w:sz w:val="24"/>
          <w:szCs w:val="24"/>
        </w:rPr>
        <w:t xml:space="preserve"> мероприятий</w:t>
      </w:r>
      <w:r w:rsidRPr="00F27454">
        <w:rPr>
          <w:sz w:val="24"/>
          <w:szCs w:val="24"/>
        </w:rPr>
        <w:t xml:space="preserve"> </w:t>
      </w:r>
      <w:r w:rsidRPr="008B3535">
        <w:rPr>
          <w:sz w:val="24"/>
          <w:szCs w:val="24"/>
        </w:rPr>
        <w:t xml:space="preserve">подпрограммы «Повышение устойчивости жилых домов, основных объектов и систем жизнеобеспечения в сейсмических районах Амурской области» </w:t>
      </w:r>
      <w:r>
        <w:rPr>
          <w:sz w:val="24"/>
          <w:szCs w:val="24"/>
        </w:rPr>
        <w:t>г</w:t>
      </w:r>
      <w:r w:rsidRPr="008B3535">
        <w:rPr>
          <w:sz w:val="24"/>
          <w:szCs w:val="24"/>
        </w:rPr>
        <w:t xml:space="preserve">осударственной программы </w:t>
      </w:r>
      <w:r>
        <w:rPr>
          <w:sz w:val="24"/>
          <w:szCs w:val="24"/>
        </w:rPr>
        <w:t xml:space="preserve">Амурской области </w:t>
      </w:r>
      <w:r w:rsidRPr="008B3535">
        <w:rPr>
          <w:sz w:val="24"/>
          <w:szCs w:val="24"/>
        </w:rPr>
        <w:t>«Обеспечение доступным и качественным жильем населения Амурской области на 2014-2020 годы», утвержденной постановлением Правительства Амурской области от 25.09.2013 № 446</w:t>
      </w:r>
      <w:r>
        <w:rPr>
          <w:sz w:val="24"/>
          <w:szCs w:val="24"/>
        </w:rPr>
        <w:t>.</w:t>
      </w:r>
    </w:p>
    <w:p w:rsidR="000B66CB" w:rsidRPr="00AE5C3C" w:rsidRDefault="000B66CB" w:rsidP="000B66CB">
      <w:pPr>
        <w:tabs>
          <w:tab w:val="left" w:pos="851"/>
        </w:tabs>
        <w:spacing w:after="0" w:line="240" w:lineRule="auto"/>
        <w:ind w:firstLine="709"/>
        <w:jc w:val="both"/>
        <w:rPr>
          <w:rFonts w:ascii="Times New Roman" w:hAnsi="Times New Roman" w:cs="Times New Roman"/>
          <w:sz w:val="24"/>
          <w:szCs w:val="24"/>
        </w:rPr>
      </w:pPr>
      <w:r w:rsidRPr="00AE5C3C">
        <w:rPr>
          <w:rFonts w:ascii="Times New Roman" w:hAnsi="Times New Roman" w:cs="Times New Roman"/>
          <w:sz w:val="24"/>
          <w:szCs w:val="24"/>
        </w:rPr>
        <w:lastRenderedPageBreak/>
        <w:t xml:space="preserve">В 2017 году при доведенных лимитах бюджетных обязательств в сумме 16091,8 тыс. рублей, использовано 16091,8 тыс. рублей (включая оплату кредиторской задолженности, сложившейся на 01.01.2017), объем освоенных капитальных вложений за 2017 год составил 10371,9 тыс. рублей. В 2017 году на основании актов приемки законченных строительством объектов в эксплуатацию введены и на основании актов приема-передачи зданий переданы министерству имущественных отношений Амурской области: внутриплощадочные сети тепло-, водоснабжения, 3-й пусковой комплекс второго этапа строительства (к жилым домам типа Д-1 №№ 35-38) стоимостью 19355,6 тыс. рублей; наружные сети канализации, </w:t>
      </w:r>
      <w:r>
        <w:rPr>
          <w:rFonts w:ascii="Times New Roman" w:hAnsi="Times New Roman" w:cs="Times New Roman"/>
          <w:sz w:val="24"/>
          <w:szCs w:val="24"/>
        </w:rPr>
        <w:br/>
      </w:r>
      <w:r w:rsidRPr="00AE5C3C">
        <w:rPr>
          <w:rFonts w:ascii="Times New Roman" w:hAnsi="Times New Roman" w:cs="Times New Roman"/>
          <w:sz w:val="24"/>
          <w:szCs w:val="24"/>
        </w:rPr>
        <w:t xml:space="preserve">3-й пусковой комплекс второго этапа строительства (к жилым домам типа Д-1 №№ 35-38) стоимостью 4291,4 тыс. рублей; сети электроснабжения 0,4 кВ и наружного освещения, </w:t>
      </w:r>
      <w:r>
        <w:rPr>
          <w:rFonts w:ascii="Times New Roman" w:hAnsi="Times New Roman" w:cs="Times New Roman"/>
          <w:sz w:val="24"/>
          <w:szCs w:val="24"/>
        </w:rPr>
        <w:br/>
      </w:r>
      <w:r w:rsidRPr="00AE5C3C">
        <w:rPr>
          <w:rFonts w:ascii="Times New Roman" w:hAnsi="Times New Roman" w:cs="Times New Roman"/>
          <w:sz w:val="24"/>
          <w:szCs w:val="24"/>
        </w:rPr>
        <w:t xml:space="preserve">3-й пусковой комплекс второго этапа строительства (к жилым домам типа Д-1 №№ 35-38) стоимостью 2618,4 тыс. рублей. Перечисленные объекты постановлением Правительства Амурской области от 05.06.2017 № 272 переданы в собственность муниципального образования город Тында. </w:t>
      </w:r>
    </w:p>
    <w:p w:rsidR="000B66CB" w:rsidRDefault="000B66CB" w:rsidP="000B66CB">
      <w:pPr>
        <w:pStyle w:val="afa"/>
        <w:numPr>
          <w:ilvl w:val="0"/>
          <w:numId w:val="22"/>
        </w:numPr>
        <w:ind w:left="0" w:firstLine="709"/>
        <w:jc w:val="both"/>
        <w:rPr>
          <w:sz w:val="24"/>
          <w:szCs w:val="24"/>
        </w:rPr>
      </w:pPr>
      <w:r w:rsidRPr="00A869D7">
        <w:rPr>
          <w:b/>
          <w:i/>
          <w:sz w:val="24"/>
          <w:szCs w:val="24"/>
        </w:rPr>
        <w:t xml:space="preserve">«Реконструкция нежилого здания под женскую консультацию ГБУЗ Амурской области «Свободненская больница», </w:t>
      </w:r>
      <w:r w:rsidR="008649C0" w:rsidRPr="00A869D7">
        <w:rPr>
          <w:b/>
          <w:i/>
          <w:sz w:val="24"/>
          <w:szCs w:val="24"/>
        </w:rPr>
        <w:t>г. Свободный</w:t>
      </w:r>
      <w:r w:rsidRPr="00A869D7">
        <w:rPr>
          <w:b/>
          <w:i/>
          <w:sz w:val="24"/>
          <w:szCs w:val="24"/>
        </w:rPr>
        <w:t>»</w:t>
      </w:r>
      <w:r w:rsidRPr="00AE5C3C">
        <w:rPr>
          <w:sz w:val="24"/>
          <w:szCs w:val="24"/>
        </w:rPr>
        <w:t xml:space="preserve">. Финансирование расходов по объекту осуществлялось в рамках мероприятий подпрограммы «Охрана здоровья матери и ребенка» государственной программы «Развитие здравоохранения Амурской области на </w:t>
      </w:r>
      <w:r w:rsidRPr="00AE5C3C">
        <w:rPr>
          <w:sz w:val="24"/>
          <w:szCs w:val="24"/>
        </w:rPr>
        <w:br/>
        <w:t xml:space="preserve">2014-2020 годы», утвержденной постановлением Правительства Амурской области от 03.07.2013 № 302. Объект включен в План комплексного социально-экономического развития г. Свободного Амурской области, утвержденный Распоряжением Правительства Российской Федерации от 22.07.2017 № 1566-р. </w:t>
      </w:r>
    </w:p>
    <w:p w:rsidR="000B66CB" w:rsidRDefault="000B66CB" w:rsidP="000B66CB">
      <w:pPr>
        <w:spacing w:after="0" w:line="240" w:lineRule="auto"/>
        <w:ind w:firstLine="709"/>
        <w:jc w:val="both"/>
        <w:rPr>
          <w:rFonts w:ascii="Times New Roman" w:hAnsi="Times New Roman" w:cs="Times New Roman"/>
          <w:sz w:val="24"/>
          <w:szCs w:val="24"/>
        </w:rPr>
      </w:pPr>
      <w:r w:rsidRPr="00AE5C3C">
        <w:rPr>
          <w:rFonts w:ascii="Times New Roman" w:hAnsi="Times New Roman" w:cs="Times New Roman"/>
          <w:sz w:val="24"/>
          <w:szCs w:val="24"/>
        </w:rPr>
        <w:t xml:space="preserve">В 2017 году </w:t>
      </w:r>
      <w:r>
        <w:rPr>
          <w:rFonts w:ascii="Times New Roman" w:hAnsi="Times New Roman" w:cs="Times New Roman"/>
          <w:sz w:val="24"/>
          <w:szCs w:val="24"/>
        </w:rPr>
        <w:t xml:space="preserve">по мероприятию </w:t>
      </w:r>
      <w:r>
        <w:rPr>
          <w:sz w:val="24"/>
          <w:szCs w:val="24"/>
        </w:rPr>
        <w:t>«</w:t>
      </w:r>
      <w:r w:rsidRPr="00AE5C3C">
        <w:rPr>
          <w:rFonts w:ascii="Times New Roman" w:hAnsi="Times New Roman"/>
          <w:sz w:val="24"/>
          <w:szCs w:val="24"/>
        </w:rPr>
        <w:t xml:space="preserve">Реконструкция нежилого здания под женскую консультацию ГБУЗ Амурской области «Свободненская больница», </w:t>
      </w:r>
      <w:r w:rsidR="008649C0" w:rsidRPr="00AE5C3C">
        <w:rPr>
          <w:rFonts w:ascii="Times New Roman" w:hAnsi="Times New Roman"/>
          <w:sz w:val="24"/>
          <w:szCs w:val="24"/>
        </w:rPr>
        <w:t>г. Свободный</w:t>
      </w:r>
      <w:r>
        <w:rPr>
          <w:sz w:val="24"/>
          <w:szCs w:val="24"/>
        </w:rPr>
        <w:t xml:space="preserve">»: </w:t>
      </w:r>
      <w:r w:rsidRPr="00E97FFE">
        <w:rPr>
          <w:rFonts w:ascii="Times New Roman" w:hAnsi="Times New Roman"/>
          <w:sz w:val="24"/>
          <w:szCs w:val="24"/>
        </w:rPr>
        <w:t xml:space="preserve">доведены лимиты бюджетных обязательств - </w:t>
      </w:r>
      <w:r w:rsidRPr="00AE5C3C">
        <w:rPr>
          <w:rFonts w:ascii="Times New Roman" w:hAnsi="Times New Roman" w:cs="Times New Roman"/>
          <w:sz w:val="24"/>
          <w:szCs w:val="24"/>
        </w:rPr>
        <w:t xml:space="preserve">5880,0 </w:t>
      </w:r>
      <w:r w:rsidRPr="00E97FFE">
        <w:rPr>
          <w:rFonts w:ascii="Times New Roman" w:hAnsi="Times New Roman"/>
          <w:sz w:val="24"/>
          <w:szCs w:val="24"/>
        </w:rPr>
        <w:t xml:space="preserve">тыс. рублей, приняты бюджетные обязательства на сумму </w:t>
      </w:r>
      <w:r>
        <w:rPr>
          <w:rFonts w:ascii="Times New Roman" w:hAnsi="Times New Roman"/>
          <w:sz w:val="24"/>
          <w:szCs w:val="24"/>
        </w:rPr>
        <w:t>5380,0</w:t>
      </w:r>
      <w:r w:rsidRPr="00E97FFE">
        <w:rPr>
          <w:rFonts w:ascii="Times New Roman" w:hAnsi="Times New Roman"/>
          <w:sz w:val="24"/>
          <w:szCs w:val="24"/>
        </w:rPr>
        <w:t xml:space="preserve"> тыс. рублей, произведены кассовые расходы в объеме </w:t>
      </w:r>
      <w:r w:rsidRPr="00AE5C3C">
        <w:rPr>
          <w:rFonts w:ascii="Times New Roman" w:hAnsi="Times New Roman" w:cs="Times New Roman"/>
          <w:sz w:val="24"/>
          <w:szCs w:val="24"/>
        </w:rPr>
        <w:t xml:space="preserve">5363,3 </w:t>
      </w:r>
      <w:r>
        <w:rPr>
          <w:rFonts w:ascii="Times New Roman" w:hAnsi="Times New Roman"/>
          <w:sz w:val="24"/>
          <w:szCs w:val="24"/>
        </w:rPr>
        <w:t>тыс. рублей, или 91</w:t>
      </w:r>
      <w:r w:rsidRPr="00E97FFE">
        <w:rPr>
          <w:rFonts w:ascii="Times New Roman" w:hAnsi="Times New Roman"/>
          <w:sz w:val="24"/>
          <w:szCs w:val="24"/>
        </w:rPr>
        <w:t>,</w:t>
      </w:r>
      <w:r>
        <w:rPr>
          <w:rFonts w:ascii="Times New Roman" w:hAnsi="Times New Roman"/>
          <w:sz w:val="24"/>
          <w:szCs w:val="24"/>
        </w:rPr>
        <w:t>2</w:t>
      </w:r>
      <w:r w:rsidRPr="00E97FFE">
        <w:rPr>
          <w:rFonts w:ascii="Times New Roman" w:hAnsi="Times New Roman"/>
          <w:sz w:val="24"/>
          <w:szCs w:val="24"/>
        </w:rPr>
        <w:t xml:space="preserve"> процент</w:t>
      </w:r>
      <w:r>
        <w:rPr>
          <w:rFonts w:ascii="Times New Roman" w:hAnsi="Times New Roman"/>
          <w:sz w:val="24"/>
          <w:szCs w:val="24"/>
        </w:rPr>
        <w:t>а</w:t>
      </w:r>
      <w:r w:rsidRPr="00E97FFE">
        <w:rPr>
          <w:rFonts w:ascii="Times New Roman" w:hAnsi="Times New Roman"/>
          <w:sz w:val="24"/>
          <w:szCs w:val="24"/>
        </w:rPr>
        <w:t xml:space="preserve"> доведенных лимитов</w:t>
      </w:r>
      <w:r>
        <w:rPr>
          <w:rFonts w:ascii="Times New Roman" w:hAnsi="Times New Roman"/>
          <w:sz w:val="24"/>
          <w:szCs w:val="24"/>
        </w:rPr>
        <w:t>,</w:t>
      </w:r>
      <w:r>
        <w:rPr>
          <w:rFonts w:ascii="Times New Roman" w:hAnsi="Times New Roman" w:cs="Times New Roman"/>
          <w:sz w:val="24"/>
          <w:szCs w:val="24"/>
        </w:rPr>
        <w:t xml:space="preserve"> средства областного бюджета использованы</w:t>
      </w:r>
      <w:r w:rsidRPr="00AE5C3C">
        <w:rPr>
          <w:rFonts w:ascii="Times New Roman" w:hAnsi="Times New Roman" w:cs="Times New Roman"/>
          <w:sz w:val="24"/>
          <w:szCs w:val="24"/>
        </w:rPr>
        <w:t xml:space="preserve"> на оплату ОАО «Амургражданпроект» в рамках государственного контракта от 05.06.2017 № 50 на выполнение работ по разработке проектной и рабочей документации по объекту.</w:t>
      </w:r>
    </w:p>
    <w:p w:rsidR="000B66CB" w:rsidRPr="00AE5C3C" w:rsidRDefault="000B66CB" w:rsidP="000B66CB">
      <w:pPr>
        <w:autoSpaceDE w:val="0"/>
        <w:autoSpaceDN w:val="0"/>
        <w:adjustRightInd w:val="0"/>
        <w:spacing w:after="0" w:line="240" w:lineRule="auto"/>
        <w:ind w:firstLine="709"/>
        <w:jc w:val="both"/>
        <w:rPr>
          <w:rFonts w:ascii="Times New Roman" w:hAnsi="Times New Roman" w:cs="Times New Roman"/>
          <w:sz w:val="24"/>
          <w:szCs w:val="24"/>
        </w:rPr>
      </w:pPr>
      <w:r w:rsidRPr="00AE5C3C">
        <w:rPr>
          <w:rFonts w:ascii="Times New Roman" w:hAnsi="Times New Roman" w:cs="Times New Roman"/>
          <w:sz w:val="24"/>
          <w:szCs w:val="24"/>
        </w:rPr>
        <w:t>На проектную документацию имеется положительное заключение государственной экспертизы от 28.12.2017 № 28-1-1-2-0065-17, выданное ГАУ «Амургосэкспертиза», а также положительное заключение о проверке достоверности определения сметной стоимости строительства, реконструкции, капитального ремонта объектов капитального строительства от 13.02.2018 № 28-1-1-4-0002-18</w:t>
      </w:r>
      <w:r>
        <w:rPr>
          <w:rFonts w:ascii="Times New Roman" w:hAnsi="Times New Roman" w:cs="Times New Roman"/>
          <w:sz w:val="24"/>
          <w:szCs w:val="24"/>
        </w:rPr>
        <w:t>.</w:t>
      </w:r>
    </w:p>
    <w:p w:rsidR="000B66CB" w:rsidRPr="00AE5C3C" w:rsidRDefault="000B66CB" w:rsidP="000B66CB">
      <w:pPr>
        <w:autoSpaceDE w:val="0"/>
        <w:autoSpaceDN w:val="0"/>
        <w:adjustRightInd w:val="0"/>
        <w:spacing w:after="0" w:line="240" w:lineRule="auto"/>
        <w:ind w:firstLine="709"/>
        <w:jc w:val="both"/>
        <w:rPr>
          <w:rFonts w:ascii="Times New Roman" w:hAnsi="Times New Roman" w:cs="Times New Roman"/>
          <w:sz w:val="24"/>
          <w:szCs w:val="24"/>
        </w:rPr>
      </w:pPr>
      <w:r w:rsidRPr="00AE5C3C">
        <w:rPr>
          <w:rFonts w:ascii="Times New Roman" w:hAnsi="Times New Roman" w:cs="Times New Roman"/>
          <w:sz w:val="24"/>
          <w:szCs w:val="24"/>
        </w:rPr>
        <w:t xml:space="preserve">Согласно сводному сметному расчету стоимость работ по реконструкции нежилого здания под женскую консультацию ГБУЗ Амурской области «Свободненская больница» в </w:t>
      </w:r>
      <w:r w:rsidRPr="00AE5C3C">
        <w:rPr>
          <w:rFonts w:ascii="Times New Roman" w:hAnsi="Times New Roman" w:cs="Times New Roman"/>
          <w:sz w:val="24"/>
          <w:szCs w:val="24"/>
        </w:rPr>
        <w:br/>
        <w:t xml:space="preserve">г. Свободный в ценах по состоянию на 01.10.2017 составляет 273615,04 тыс. рублей </w:t>
      </w:r>
      <w:r w:rsidRPr="00AE5C3C">
        <w:rPr>
          <w:rFonts w:ascii="Times New Roman" w:hAnsi="Times New Roman" w:cs="Times New Roman"/>
          <w:sz w:val="24"/>
          <w:szCs w:val="24"/>
        </w:rPr>
        <w:br/>
        <w:t>(с НДС 18 %), в том числе стоимость строительных и монтажных работ – 131358,8 тыс. рублей, оборудования, мебели, инвентаря – 122281,5 тыс. рублей.</w:t>
      </w:r>
    </w:p>
    <w:p w:rsidR="000B66CB" w:rsidRPr="00AE5C3C" w:rsidRDefault="000B66CB" w:rsidP="000B66CB">
      <w:pPr>
        <w:autoSpaceDE w:val="0"/>
        <w:autoSpaceDN w:val="0"/>
        <w:adjustRightInd w:val="0"/>
        <w:spacing w:after="0" w:line="240" w:lineRule="auto"/>
        <w:ind w:firstLine="709"/>
        <w:jc w:val="both"/>
        <w:rPr>
          <w:rFonts w:ascii="Times New Roman" w:hAnsi="Times New Roman" w:cs="Times New Roman"/>
          <w:sz w:val="24"/>
          <w:szCs w:val="24"/>
        </w:rPr>
      </w:pPr>
      <w:r w:rsidRPr="00AE5C3C">
        <w:rPr>
          <w:rFonts w:ascii="Times New Roman" w:hAnsi="Times New Roman" w:cs="Times New Roman"/>
          <w:sz w:val="24"/>
          <w:szCs w:val="24"/>
        </w:rPr>
        <w:t>Проектом предусмотрено размещение женской консультации на 409 посещений в день за счет реконструкции 2-го и 3-го этажей существующего трехэтажного блока нежилого здания, расположенного по адресу: г. Свободный, ул. Сухой овраг, д.8. Предусматривается выполнение пристройки входной и вестибюльной группы для женской консультации и тамбура входа в кабинет компьютерной томографии. Входы оборудуются пандусами. На первом этаже запроектированы помещения, общие для женской консультации и детской поликлиники, расположенной на 1 этаже реконструируемого здания – кабинет компьютерной томографии, стерилизационная.</w:t>
      </w:r>
      <w:r>
        <w:rPr>
          <w:rFonts w:ascii="Times New Roman" w:hAnsi="Times New Roman" w:cs="Times New Roman"/>
          <w:sz w:val="24"/>
          <w:szCs w:val="24"/>
        </w:rPr>
        <w:t xml:space="preserve"> </w:t>
      </w:r>
      <w:r w:rsidRPr="00AE5C3C">
        <w:rPr>
          <w:rFonts w:ascii="Times New Roman" w:hAnsi="Times New Roman" w:cs="Times New Roman"/>
          <w:sz w:val="24"/>
          <w:szCs w:val="24"/>
        </w:rPr>
        <w:t>В рамках проекта предусмотрена реконструкция изношенных инженерных сетей тепло-, водоснабжения на всех этажах блока нежилого здания с размещением в подвальном помещении необходимого оборудования</w:t>
      </w:r>
      <w:r>
        <w:rPr>
          <w:rFonts w:ascii="Times New Roman" w:hAnsi="Times New Roman" w:cs="Times New Roman"/>
          <w:sz w:val="24"/>
          <w:szCs w:val="24"/>
        </w:rPr>
        <w:t>, благоустройство территории</w:t>
      </w:r>
      <w:r w:rsidRPr="00AE5C3C">
        <w:rPr>
          <w:rFonts w:ascii="Times New Roman" w:hAnsi="Times New Roman" w:cs="Times New Roman"/>
          <w:sz w:val="24"/>
          <w:szCs w:val="24"/>
        </w:rPr>
        <w:t xml:space="preserve">. </w:t>
      </w:r>
    </w:p>
    <w:p w:rsidR="000B66CB" w:rsidRDefault="000B66CB" w:rsidP="000B66CB">
      <w:pPr>
        <w:pStyle w:val="afa"/>
        <w:numPr>
          <w:ilvl w:val="0"/>
          <w:numId w:val="22"/>
        </w:numPr>
        <w:ind w:left="0" w:firstLine="709"/>
        <w:jc w:val="both"/>
        <w:rPr>
          <w:sz w:val="24"/>
          <w:szCs w:val="24"/>
        </w:rPr>
      </w:pPr>
      <w:r w:rsidRPr="00A869D7">
        <w:rPr>
          <w:b/>
          <w:i/>
          <w:sz w:val="24"/>
          <w:szCs w:val="24"/>
        </w:rPr>
        <w:t xml:space="preserve">«Строительство родильного дома, </w:t>
      </w:r>
      <w:r w:rsidR="008649C0" w:rsidRPr="00A869D7">
        <w:rPr>
          <w:b/>
          <w:i/>
          <w:sz w:val="24"/>
          <w:szCs w:val="24"/>
        </w:rPr>
        <w:t>г. Свободный</w:t>
      </w:r>
      <w:r w:rsidRPr="00A869D7">
        <w:rPr>
          <w:b/>
          <w:i/>
          <w:sz w:val="24"/>
          <w:szCs w:val="24"/>
        </w:rPr>
        <w:t>».</w:t>
      </w:r>
      <w:r w:rsidRPr="006B2747">
        <w:rPr>
          <w:sz w:val="24"/>
          <w:szCs w:val="24"/>
        </w:rPr>
        <w:t xml:space="preserve"> Финансирование расходов по объекту осуществлялось в рамках мероприятий подпрограммы «Охрана здоровья матери </w:t>
      </w:r>
      <w:r w:rsidRPr="006B2747">
        <w:rPr>
          <w:sz w:val="24"/>
          <w:szCs w:val="24"/>
        </w:rPr>
        <w:lastRenderedPageBreak/>
        <w:t xml:space="preserve">и ребенка» государственной программы «Развитие здравоохранения Амурской области на </w:t>
      </w:r>
      <w:r w:rsidRPr="006B2747">
        <w:rPr>
          <w:sz w:val="24"/>
          <w:szCs w:val="24"/>
        </w:rPr>
        <w:br/>
        <w:t xml:space="preserve">2014-2020 годы», утвержденной постановлением Правительства Амурской области от 03.07.2013 № 302. Объект включен в План комплексного социально-экономического развития г. Свободного Амурской области, утвержденный Распоряжением Правительства Российской Федерации от 22.07.2017 № 1566-р. </w:t>
      </w:r>
    </w:p>
    <w:p w:rsidR="000B66CB" w:rsidRDefault="000B66CB" w:rsidP="000B66CB">
      <w:pPr>
        <w:tabs>
          <w:tab w:val="left" w:pos="851"/>
        </w:tabs>
        <w:spacing w:after="0" w:line="240" w:lineRule="auto"/>
        <w:ind w:firstLine="709"/>
        <w:jc w:val="both"/>
        <w:rPr>
          <w:rFonts w:ascii="Times New Roman" w:hAnsi="Times New Roman" w:cs="Times New Roman"/>
          <w:sz w:val="24"/>
          <w:szCs w:val="24"/>
        </w:rPr>
      </w:pPr>
      <w:r w:rsidRPr="006B2747">
        <w:rPr>
          <w:rFonts w:ascii="Times New Roman" w:hAnsi="Times New Roman" w:cs="Times New Roman"/>
          <w:sz w:val="24"/>
          <w:szCs w:val="24"/>
        </w:rPr>
        <w:t xml:space="preserve">В 2017 году </w:t>
      </w:r>
      <w:r>
        <w:rPr>
          <w:rFonts w:ascii="Times New Roman" w:hAnsi="Times New Roman" w:cs="Times New Roman"/>
          <w:sz w:val="24"/>
          <w:szCs w:val="24"/>
        </w:rPr>
        <w:t xml:space="preserve">по мероприятию </w:t>
      </w:r>
      <w:r>
        <w:rPr>
          <w:sz w:val="24"/>
          <w:szCs w:val="24"/>
        </w:rPr>
        <w:t>«</w:t>
      </w:r>
      <w:r w:rsidRPr="006B2747">
        <w:rPr>
          <w:rFonts w:ascii="Times New Roman" w:eastAsia="Times New Roman" w:hAnsi="Times New Roman"/>
          <w:sz w:val="24"/>
          <w:szCs w:val="24"/>
          <w:lang w:eastAsia="ru-RU"/>
        </w:rPr>
        <w:t xml:space="preserve">Строительство родильного дома, </w:t>
      </w:r>
      <w:r w:rsidR="008649C0" w:rsidRPr="006B2747">
        <w:rPr>
          <w:rFonts w:ascii="Times New Roman" w:eastAsia="Times New Roman" w:hAnsi="Times New Roman"/>
          <w:sz w:val="24"/>
          <w:szCs w:val="24"/>
          <w:lang w:eastAsia="ru-RU"/>
        </w:rPr>
        <w:t>г. Свободный</w:t>
      </w:r>
      <w:r>
        <w:rPr>
          <w:sz w:val="24"/>
          <w:szCs w:val="24"/>
        </w:rPr>
        <w:t xml:space="preserve">»: </w:t>
      </w:r>
      <w:r w:rsidRPr="00E97FFE">
        <w:rPr>
          <w:rFonts w:ascii="Times New Roman" w:hAnsi="Times New Roman"/>
          <w:sz w:val="24"/>
          <w:szCs w:val="24"/>
        </w:rPr>
        <w:t xml:space="preserve">доведены лимиты бюджетных обязательств - </w:t>
      </w:r>
      <w:r>
        <w:rPr>
          <w:rFonts w:ascii="Times New Roman" w:hAnsi="Times New Roman"/>
          <w:sz w:val="24"/>
          <w:szCs w:val="24"/>
        </w:rPr>
        <w:t>8</w:t>
      </w:r>
      <w:r w:rsidRPr="00AE5C3C">
        <w:rPr>
          <w:rFonts w:ascii="Times New Roman" w:hAnsi="Times New Roman" w:cs="Times New Roman"/>
          <w:sz w:val="24"/>
          <w:szCs w:val="24"/>
        </w:rPr>
        <w:t>5</w:t>
      </w:r>
      <w:r>
        <w:rPr>
          <w:rFonts w:ascii="Times New Roman" w:hAnsi="Times New Roman" w:cs="Times New Roman"/>
          <w:sz w:val="24"/>
          <w:szCs w:val="24"/>
        </w:rPr>
        <w:t>0</w:t>
      </w:r>
      <w:r w:rsidRPr="00AE5C3C">
        <w:rPr>
          <w:rFonts w:ascii="Times New Roman" w:hAnsi="Times New Roman" w:cs="Times New Roman"/>
          <w:sz w:val="24"/>
          <w:szCs w:val="24"/>
        </w:rPr>
        <w:t xml:space="preserve">0,0 </w:t>
      </w:r>
      <w:r w:rsidRPr="00E97FFE">
        <w:rPr>
          <w:rFonts w:ascii="Times New Roman" w:hAnsi="Times New Roman"/>
          <w:sz w:val="24"/>
          <w:szCs w:val="24"/>
        </w:rPr>
        <w:t xml:space="preserve">тыс. рублей, приняты бюджетные обязательства на сумму </w:t>
      </w:r>
      <w:r>
        <w:rPr>
          <w:rFonts w:ascii="Times New Roman" w:hAnsi="Times New Roman"/>
          <w:sz w:val="24"/>
          <w:szCs w:val="24"/>
        </w:rPr>
        <w:t>8000,0</w:t>
      </w:r>
      <w:r w:rsidRPr="00E97FFE">
        <w:rPr>
          <w:rFonts w:ascii="Times New Roman" w:hAnsi="Times New Roman"/>
          <w:sz w:val="24"/>
          <w:szCs w:val="24"/>
        </w:rPr>
        <w:t xml:space="preserve"> тыс. рублей, произведены кассовые расходы в объеме </w:t>
      </w:r>
      <w:r>
        <w:rPr>
          <w:rFonts w:ascii="Times New Roman" w:hAnsi="Times New Roman"/>
          <w:sz w:val="24"/>
          <w:szCs w:val="24"/>
        </w:rPr>
        <w:br/>
      </w:r>
      <w:r w:rsidRPr="006B2747">
        <w:rPr>
          <w:rFonts w:ascii="Times New Roman" w:hAnsi="Times New Roman" w:cs="Times New Roman"/>
          <w:sz w:val="24"/>
          <w:szCs w:val="24"/>
        </w:rPr>
        <w:t xml:space="preserve">672,3 </w:t>
      </w:r>
      <w:r>
        <w:rPr>
          <w:rFonts w:ascii="Times New Roman" w:hAnsi="Times New Roman"/>
          <w:sz w:val="24"/>
          <w:szCs w:val="24"/>
        </w:rPr>
        <w:t>тыс. рублей, или 7,9</w:t>
      </w:r>
      <w:r w:rsidRPr="00E97FFE">
        <w:rPr>
          <w:rFonts w:ascii="Times New Roman" w:hAnsi="Times New Roman"/>
          <w:sz w:val="24"/>
          <w:szCs w:val="24"/>
        </w:rPr>
        <w:t xml:space="preserve"> процент</w:t>
      </w:r>
      <w:r>
        <w:rPr>
          <w:rFonts w:ascii="Times New Roman" w:hAnsi="Times New Roman"/>
          <w:sz w:val="24"/>
          <w:szCs w:val="24"/>
        </w:rPr>
        <w:t>а</w:t>
      </w:r>
      <w:r w:rsidRPr="00E97FFE">
        <w:rPr>
          <w:rFonts w:ascii="Times New Roman" w:hAnsi="Times New Roman"/>
          <w:sz w:val="24"/>
          <w:szCs w:val="24"/>
        </w:rPr>
        <w:t xml:space="preserve"> доведенных лимитов</w:t>
      </w:r>
      <w:r>
        <w:rPr>
          <w:rFonts w:ascii="Times New Roman" w:hAnsi="Times New Roman"/>
          <w:sz w:val="24"/>
          <w:szCs w:val="24"/>
        </w:rPr>
        <w:t>,</w:t>
      </w:r>
      <w:r>
        <w:rPr>
          <w:rFonts w:ascii="Times New Roman" w:hAnsi="Times New Roman" w:cs="Times New Roman"/>
          <w:sz w:val="24"/>
          <w:szCs w:val="24"/>
        </w:rPr>
        <w:t xml:space="preserve"> </w:t>
      </w:r>
      <w:r w:rsidRPr="006B2747">
        <w:rPr>
          <w:rFonts w:ascii="Times New Roman" w:hAnsi="Times New Roman" w:cs="Times New Roman"/>
          <w:sz w:val="24"/>
          <w:szCs w:val="24"/>
        </w:rPr>
        <w:t>причинами низкого уровня исполнения яв</w:t>
      </w:r>
      <w:r>
        <w:rPr>
          <w:rFonts w:ascii="Times New Roman" w:hAnsi="Times New Roman" w:cs="Times New Roman"/>
          <w:sz w:val="24"/>
          <w:szCs w:val="24"/>
        </w:rPr>
        <w:t>илось</w:t>
      </w:r>
      <w:r w:rsidRPr="006B2747">
        <w:rPr>
          <w:rFonts w:ascii="Times New Roman" w:hAnsi="Times New Roman" w:cs="Times New Roman"/>
          <w:sz w:val="24"/>
          <w:szCs w:val="24"/>
        </w:rPr>
        <w:t xml:space="preserve"> нарушение подрядной организацией сроков исполнения контракта</w:t>
      </w:r>
      <w:r>
        <w:rPr>
          <w:rFonts w:ascii="Times New Roman" w:hAnsi="Times New Roman" w:cs="Times New Roman"/>
          <w:sz w:val="24"/>
          <w:szCs w:val="24"/>
        </w:rPr>
        <w:t xml:space="preserve">. Средства областного </w:t>
      </w:r>
      <w:r w:rsidRPr="006B2747">
        <w:rPr>
          <w:rFonts w:ascii="Times New Roman" w:hAnsi="Times New Roman" w:cs="Times New Roman"/>
          <w:sz w:val="24"/>
          <w:szCs w:val="24"/>
        </w:rPr>
        <w:t xml:space="preserve">бюджета использованы на оплату первого этапа работ Акционерному обществу «ГИПРОЗДРАВ» - научно проектный центр по объектам здравоохранения и отдыха» в рамках государственного контракта от 13.06.2017 № 51 на выполнение работ по разработке проектной и рабочей документации по объекту «Строительство </w:t>
      </w:r>
      <w:r w:rsidR="008D63A5">
        <w:rPr>
          <w:rFonts w:ascii="Times New Roman" w:hAnsi="Times New Roman" w:cs="Times New Roman"/>
          <w:sz w:val="24"/>
          <w:szCs w:val="24"/>
        </w:rPr>
        <w:t>родильного дома, г. Свободный».</w:t>
      </w:r>
    </w:p>
    <w:p w:rsidR="000B66CB" w:rsidRPr="006B2747" w:rsidRDefault="000B66CB" w:rsidP="000B66CB">
      <w:pPr>
        <w:tabs>
          <w:tab w:val="left" w:pos="851"/>
        </w:tabs>
        <w:spacing w:after="0" w:line="240" w:lineRule="auto"/>
        <w:ind w:firstLine="709"/>
        <w:jc w:val="both"/>
        <w:rPr>
          <w:rFonts w:ascii="Times New Roman" w:hAnsi="Times New Roman" w:cs="Times New Roman"/>
          <w:sz w:val="24"/>
          <w:szCs w:val="24"/>
        </w:rPr>
      </w:pPr>
      <w:r w:rsidRPr="006B2747">
        <w:rPr>
          <w:rFonts w:ascii="Times New Roman" w:hAnsi="Times New Roman" w:cs="Times New Roman"/>
          <w:sz w:val="24"/>
          <w:szCs w:val="24"/>
        </w:rPr>
        <w:t xml:space="preserve">Работы по второму этапу, при предусмотренных сроках – до 30.11.2017, не выполнены до настоящего времени. </w:t>
      </w:r>
      <w:r>
        <w:rPr>
          <w:rFonts w:ascii="Times New Roman" w:hAnsi="Times New Roman" w:cs="Times New Roman"/>
          <w:sz w:val="24"/>
          <w:szCs w:val="24"/>
        </w:rPr>
        <w:t>Причиной невыполнения работ в установленные контрактом сроки стало р</w:t>
      </w:r>
      <w:r w:rsidRPr="006B2747">
        <w:rPr>
          <w:rFonts w:ascii="Times New Roman" w:hAnsi="Times New Roman" w:cs="Times New Roman"/>
          <w:sz w:val="24"/>
          <w:szCs w:val="24"/>
        </w:rPr>
        <w:t>азмещение заказа на выполнение работ по разработке проектной и рабочей документации по объекту: «Строительство родильного дома, г. Свободный» и последующее заключение государственного контракта № 51 от 13.06.2017 в отсутстви</w:t>
      </w:r>
      <w:r>
        <w:rPr>
          <w:rFonts w:ascii="Times New Roman" w:hAnsi="Times New Roman" w:cs="Times New Roman"/>
          <w:sz w:val="24"/>
          <w:szCs w:val="24"/>
        </w:rPr>
        <w:t>и</w:t>
      </w:r>
      <w:r w:rsidRPr="006B2747">
        <w:rPr>
          <w:rFonts w:ascii="Times New Roman" w:hAnsi="Times New Roman" w:cs="Times New Roman"/>
          <w:sz w:val="24"/>
          <w:szCs w:val="24"/>
        </w:rPr>
        <w:t xml:space="preserve"> должной проработки вопроса в части выбора и предоставления для выполнения проектных работ земельного участка, соответствующего нормам и правилам (территория под проектируемое здание родильного дома попала в санитарно-защитную зону от недействующего предприятия)</w:t>
      </w:r>
      <w:r w:rsidR="008D63A5">
        <w:rPr>
          <w:rFonts w:ascii="Times New Roman" w:hAnsi="Times New Roman" w:cs="Times New Roman"/>
          <w:sz w:val="24"/>
          <w:szCs w:val="24"/>
        </w:rPr>
        <w:t>.</w:t>
      </w:r>
    </w:p>
    <w:p w:rsidR="000B66CB" w:rsidRPr="006B2747" w:rsidRDefault="000B66CB" w:rsidP="000B66CB">
      <w:pPr>
        <w:autoSpaceDE w:val="0"/>
        <w:autoSpaceDN w:val="0"/>
        <w:adjustRightInd w:val="0"/>
        <w:spacing w:after="0" w:line="240" w:lineRule="auto"/>
        <w:ind w:firstLine="708"/>
        <w:jc w:val="both"/>
        <w:rPr>
          <w:rFonts w:ascii="Times New Roman" w:hAnsi="Times New Roman" w:cs="Times New Roman"/>
          <w:sz w:val="24"/>
          <w:szCs w:val="24"/>
        </w:rPr>
      </w:pPr>
      <w:r w:rsidRPr="006B2747">
        <w:rPr>
          <w:rFonts w:ascii="Times New Roman" w:hAnsi="Times New Roman" w:cs="Times New Roman"/>
          <w:sz w:val="24"/>
          <w:szCs w:val="24"/>
        </w:rPr>
        <w:t xml:space="preserve">Подпрограммой «Охрана здоровья матери и ребенка» государственной программы «Развитие здравоохранения Амурской области на 2014-2020 годы», утвержденной постановлением Правительства Амурской области от 03.07.2013 № 302 (в редакции от 26.04.2018), срок планируемого ввода объекта в эксплуатацию – 2019 год. Задержки на этапе проектирования объекта на срок 8 месяцев создают риски неисполнения предусмотренных государственной программой сроков строительства и </w:t>
      </w:r>
      <w:r w:rsidR="008D63A5">
        <w:rPr>
          <w:rFonts w:ascii="Times New Roman" w:hAnsi="Times New Roman" w:cs="Times New Roman"/>
          <w:sz w:val="24"/>
          <w:szCs w:val="24"/>
        </w:rPr>
        <w:t>ввода объекта в эксплуатацию.</w:t>
      </w:r>
    </w:p>
    <w:p w:rsidR="000B66CB" w:rsidRDefault="000B66CB" w:rsidP="000B66CB">
      <w:pPr>
        <w:pStyle w:val="afa"/>
        <w:numPr>
          <w:ilvl w:val="0"/>
          <w:numId w:val="22"/>
        </w:numPr>
        <w:ind w:left="0" w:firstLine="709"/>
        <w:jc w:val="both"/>
        <w:rPr>
          <w:sz w:val="24"/>
          <w:szCs w:val="24"/>
        </w:rPr>
      </w:pPr>
      <w:r w:rsidRPr="00A869D7">
        <w:rPr>
          <w:b/>
          <w:i/>
          <w:sz w:val="24"/>
          <w:szCs w:val="24"/>
        </w:rPr>
        <w:t>«Строительство участковой больницы, с. Стойба Селемджинского района».</w:t>
      </w:r>
      <w:r w:rsidRPr="006B2747">
        <w:rPr>
          <w:sz w:val="24"/>
          <w:szCs w:val="24"/>
        </w:rPr>
        <w:t xml:space="preserve"> Финансирование расходов по объекту осуществлялось в рамках мероприятий подпрограммы «</w:t>
      </w:r>
      <w:r w:rsidRPr="006B2747">
        <w:rPr>
          <w:rFonts w:eastAsiaTheme="minorHAnsi"/>
          <w:sz w:val="24"/>
          <w:szCs w:val="24"/>
        </w:rPr>
        <w:t>Профилактика заболеваний и формирование здорового образа жизни. Развитие первичной медико-санитарной помощи</w:t>
      </w:r>
      <w:r w:rsidRPr="006B2747">
        <w:rPr>
          <w:sz w:val="24"/>
          <w:szCs w:val="24"/>
        </w:rPr>
        <w:t>» государственной программы «Развитие здравоохранения Амурской области на 2014-2020 годы», утвержденной постановлением Правительства Амурск</w:t>
      </w:r>
      <w:r w:rsidR="008D63A5">
        <w:rPr>
          <w:sz w:val="24"/>
          <w:szCs w:val="24"/>
        </w:rPr>
        <w:t>ой области от 03.07.2013 № 302.</w:t>
      </w:r>
    </w:p>
    <w:p w:rsidR="000B66CB" w:rsidRPr="00F741EA" w:rsidRDefault="000B66CB" w:rsidP="000B66CB">
      <w:pPr>
        <w:tabs>
          <w:tab w:val="left" w:pos="851"/>
        </w:tabs>
        <w:spacing w:after="0" w:line="240" w:lineRule="auto"/>
        <w:ind w:firstLine="709"/>
        <w:jc w:val="both"/>
        <w:rPr>
          <w:rFonts w:ascii="Times New Roman" w:hAnsi="Times New Roman"/>
          <w:sz w:val="24"/>
          <w:szCs w:val="24"/>
        </w:rPr>
      </w:pPr>
      <w:r>
        <w:rPr>
          <w:rFonts w:ascii="Times New Roman" w:hAnsi="Times New Roman" w:cs="Times New Roman"/>
          <w:sz w:val="24"/>
          <w:szCs w:val="24"/>
        </w:rPr>
        <w:t>В</w:t>
      </w:r>
      <w:r w:rsidRPr="006B2747">
        <w:rPr>
          <w:rFonts w:ascii="Times New Roman" w:hAnsi="Times New Roman" w:cs="Times New Roman"/>
          <w:sz w:val="24"/>
          <w:szCs w:val="24"/>
        </w:rPr>
        <w:t xml:space="preserve"> 2017 году по мероприятию «Строительство участковой больницы, с. Стойба Селемджинского района»: доведены лимиты бюджетных обязательств - 3562,3 тыс. рублей, приняты бюджетные обязательства на сумму 3554,2 тыс. рублей, произведены кассовые расходы в объеме 1233,5 тыс. рублей, или 34,6 </w:t>
      </w:r>
      <w:r>
        <w:rPr>
          <w:rFonts w:ascii="Times New Roman" w:hAnsi="Times New Roman" w:cs="Times New Roman"/>
          <w:sz w:val="24"/>
          <w:szCs w:val="24"/>
        </w:rPr>
        <w:t xml:space="preserve">процента доведенных лимитов, </w:t>
      </w:r>
      <w:r w:rsidRPr="006B2747">
        <w:rPr>
          <w:rFonts w:ascii="Times New Roman" w:hAnsi="Times New Roman" w:cs="Times New Roman"/>
          <w:sz w:val="24"/>
          <w:szCs w:val="24"/>
        </w:rPr>
        <w:t>причинами низкого уровня исполнения яв</w:t>
      </w:r>
      <w:r>
        <w:rPr>
          <w:rFonts w:ascii="Times New Roman" w:hAnsi="Times New Roman" w:cs="Times New Roman"/>
          <w:sz w:val="24"/>
          <w:szCs w:val="24"/>
        </w:rPr>
        <w:t>илось</w:t>
      </w:r>
      <w:r w:rsidRPr="006B2747">
        <w:rPr>
          <w:rFonts w:ascii="Times New Roman" w:hAnsi="Times New Roman" w:cs="Times New Roman"/>
          <w:sz w:val="24"/>
          <w:szCs w:val="24"/>
        </w:rPr>
        <w:t xml:space="preserve"> нарушение подрядной организацией сроков исполнения контракта.</w:t>
      </w:r>
      <w:r>
        <w:rPr>
          <w:rFonts w:ascii="Times New Roman" w:hAnsi="Times New Roman" w:cs="Times New Roman"/>
          <w:sz w:val="24"/>
          <w:szCs w:val="24"/>
        </w:rPr>
        <w:t xml:space="preserve"> С</w:t>
      </w:r>
      <w:r w:rsidRPr="006B2747">
        <w:rPr>
          <w:rFonts w:ascii="Times New Roman" w:hAnsi="Times New Roman" w:cs="Times New Roman"/>
          <w:sz w:val="24"/>
          <w:szCs w:val="24"/>
        </w:rPr>
        <w:t>редства областного бюджета использованы на оплату первого этапа работ</w:t>
      </w:r>
      <w:r>
        <w:rPr>
          <w:rFonts w:ascii="Times New Roman" w:hAnsi="Times New Roman" w:cs="Times New Roman"/>
          <w:sz w:val="24"/>
          <w:szCs w:val="24"/>
        </w:rPr>
        <w:br/>
        <w:t xml:space="preserve"> </w:t>
      </w:r>
      <w:r>
        <w:rPr>
          <w:rFonts w:ascii="Times New Roman" w:hAnsi="Times New Roman"/>
          <w:sz w:val="24"/>
          <w:szCs w:val="24"/>
        </w:rPr>
        <w:t>ООО «Амурское региональное управление исполнения государственного заказа» в рамках государственного контракта № 56</w:t>
      </w:r>
      <w:r w:rsidRPr="00FA139C">
        <w:rPr>
          <w:rFonts w:ascii="Times New Roman" w:hAnsi="Times New Roman"/>
          <w:sz w:val="24"/>
          <w:szCs w:val="24"/>
        </w:rPr>
        <w:t xml:space="preserve"> от </w:t>
      </w:r>
      <w:r>
        <w:rPr>
          <w:rFonts w:ascii="Times New Roman" w:hAnsi="Times New Roman"/>
          <w:sz w:val="24"/>
          <w:szCs w:val="24"/>
        </w:rPr>
        <w:t>17</w:t>
      </w:r>
      <w:r w:rsidRPr="00FA139C">
        <w:rPr>
          <w:rFonts w:ascii="Times New Roman" w:hAnsi="Times New Roman"/>
          <w:sz w:val="24"/>
          <w:szCs w:val="24"/>
        </w:rPr>
        <w:t>.07.201</w:t>
      </w:r>
      <w:r>
        <w:rPr>
          <w:rFonts w:ascii="Times New Roman" w:hAnsi="Times New Roman"/>
          <w:sz w:val="24"/>
          <w:szCs w:val="24"/>
        </w:rPr>
        <w:t>7</w:t>
      </w:r>
      <w:r w:rsidRPr="00FA139C">
        <w:rPr>
          <w:rFonts w:ascii="Times New Roman" w:hAnsi="Times New Roman"/>
          <w:sz w:val="24"/>
          <w:szCs w:val="24"/>
        </w:rPr>
        <w:t xml:space="preserve"> на выполнение работ </w:t>
      </w:r>
      <w:r>
        <w:rPr>
          <w:rFonts w:ascii="Times New Roman" w:hAnsi="Times New Roman"/>
          <w:sz w:val="24"/>
          <w:szCs w:val="24"/>
        </w:rPr>
        <w:t>по разработке проектной и рабочей документации по объекту:</w:t>
      </w:r>
      <w:r w:rsidRPr="00DE63A6">
        <w:rPr>
          <w:rFonts w:ascii="Times New Roman" w:hAnsi="Times New Roman"/>
          <w:sz w:val="24"/>
          <w:szCs w:val="24"/>
        </w:rPr>
        <w:t xml:space="preserve"> </w:t>
      </w:r>
      <w:r>
        <w:rPr>
          <w:rFonts w:ascii="Times New Roman" w:hAnsi="Times New Roman"/>
          <w:sz w:val="24"/>
          <w:szCs w:val="24"/>
        </w:rPr>
        <w:t xml:space="preserve">«Строительство участковой больницы, </w:t>
      </w:r>
      <w:r>
        <w:rPr>
          <w:rFonts w:ascii="Times New Roman" w:hAnsi="Times New Roman"/>
          <w:sz w:val="24"/>
          <w:szCs w:val="24"/>
        </w:rPr>
        <w:br/>
        <w:t xml:space="preserve">с. Стойба Селемджинского района». </w:t>
      </w:r>
      <w:r w:rsidRPr="00F741EA">
        <w:rPr>
          <w:rFonts w:ascii="Times New Roman" w:hAnsi="Times New Roman"/>
          <w:sz w:val="24"/>
          <w:szCs w:val="24"/>
        </w:rPr>
        <w:t xml:space="preserve">Работы по второму этапу </w:t>
      </w:r>
      <w:r w:rsidRPr="006B2747">
        <w:rPr>
          <w:rFonts w:ascii="Times New Roman" w:hAnsi="Times New Roman" w:cs="Times New Roman"/>
          <w:sz w:val="24"/>
          <w:szCs w:val="24"/>
        </w:rPr>
        <w:t xml:space="preserve">при предусмотренных сроках – до 30.11.2017, не выполнены до настоящего времени. </w:t>
      </w:r>
      <w:r>
        <w:rPr>
          <w:rFonts w:ascii="Times New Roman" w:hAnsi="Times New Roman" w:cs="Times New Roman"/>
          <w:sz w:val="24"/>
          <w:szCs w:val="24"/>
        </w:rPr>
        <w:t xml:space="preserve">Причиной невыполнения работ в установленные контрактом сроки – замечания </w:t>
      </w:r>
      <w:r w:rsidRPr="00F741EA">
        <w:rPr>
          <w:rFonts w:ascii="Times New Roman" w:hAnsi="Times New Roman"/>
          <w:sz w:val="24"/>
          <w:szCs w:val="24"/>
        </w:rPr>
        <w:t>ГАУ «Амургосэкспертиза»</w:t>
      </w:r>
      <w:r>
        <w:rPr>
          <w:rFonts w:ascii="Times New Roman" w:hAnsi="Times New Roman"/>
          <w:sz w:val="24"/>
          <w:szCs w:val="24"/>
        </w:rPr>
        <w:t xml:space="preserve"> по результатам экспертизы</w:t>
      </w:r>
      <w:r w:rsidRPr="00F741EA">
        <w:rPr>
          <w:rFonts w:ascii="Times New Roman" w:hAnsi="Times New Roman"/>
          <w:sz w:val="24"/>
          <w:szCs w:val="24"/>
        </w:rPr>
        <w:t xml:space="preserve"> проектно-сметн</w:t>
      </w:r>
      <w:r>
        <w:rPr>
          <w:rFonts w:ascii="Times New Roman" w:hAnsi="Times New Roman"/>
          <w:sz w:val="24"/>
          <w:szCs w:val="24"/>
        </w:rPr>
        <w:t>ой</w:t>
      </w:r>
      <w:r w:rsidRPr="00F741EA">
        <w:rPr>
          <w:rFonts w:ascii="Times New Roman" w:hAnsi="Times New Roman"/>
          <w:sz w:val="24"/>
          <w:szCs w:val="24"/>
        </w:rPr>
        <w:t xml:space="preserve"> документаци</w:t>
      </w:r>
      <w:r>
        <w:rPr>
          <w:rFonts w:ascii="Times New Roman" w:hAnsi="Times New Roman"/>
          <w:sz w:val="24"/>
          <w:szCs w:val="24"/>
        </w:rPr>
        <w:t>и</w:t>
      </w:r>
      <w:r w:rsidRPr="00F741EA">
        <w:rPr>
          <w:rFonts w:ascii="Times New Roman" w:hAnsi="Times New Roman"/>
          <w:sz w:val="24"/>
          <w:szCs w:val="24"/>
        </w:rPr>
        <w:t xml:space="preserve"> и результат</w:t>
      </w:r>
      <w:r>
        <w:rPr>
          <w:rFonts w:ascii="Times New Roman" w:hAnsi="Times New Roman"/>
          <w:sz w:val="24"/>
          <w:szCs w:val="24"/>
        </w:rPr>
        <w:t>ов</w:t>
      </w:r>
      <w:r w:rsidRPr="00F741EA">
        <w:rPr>
          <w:rFonts w:ascii="Times New Roman" w:hAnsi="Times New Roman"/>
          <w:sz w:val="24"/>
          <w:szCs w:val="24"/>
        </w:rPr>
        <w:t xml:space="preserve"> инженерных изысканий</w:t>
      </w:r>
      <w:r>
        <w:rPr>
          <w:rFonts w:ascii="Times New Roman" w:hAnsi="Times New Roman"/>
          <w:sz w:val="24"/>
          <w:szCs w:val="24"/>
        </w:rPr>
        <w:t>, выполненных</w:t>
      </w:r>
      <w:r w:rsidRPr="00F741EA">
        <w:rPr>
          <w:rFonts w:ascii="Times New Roman" w:hAnsi="Times New Roman"/>
          <w:sz w:val="24"/>
          <w:szCs w:val="24"/>
        </w:rPr>
        <w:t xml:space="preserve"> ООО «Амурское региональное управление исполнения государственного заказа»</w:t>
      </w:r>
      <w:r>
        <w:rPr>
          <w:rFonts w:ascii="Times New Roman" w:hAnsi="Times New Roman"/>
          <w:sz w:val="24"/>
          <w:szCs w:val="24"/>
        </w:rPr>
        <w:t xml:space="preserve">. </w:t>
      </w:r>
      <w:r w:rsidRPr="00F741EA">
        <w:rPr>
          <w:rFonts w:ascii="Times New Roman" w:hAnsi="Times New Roman"/>
          <w:sz w:val="24"/>
          <w:szCs w:val="24"/>
        </w:rPr>
        <w:t>Подрядчиком - ООО «Амурское региональное управление исполнения государственного заказа»</w:t>
      </w:r>
      <w:r>
        <w:rPr>
          <w:rFonts w:ascii="Times New Roman" w:hAnsi="Times New Roman"/>
          <w:sz w:val="24"/>
          <w:szCs w:val="24"/>
        </w:rPr>
        <w:t xml:space="preserve"> </w:t>
      </w:r>
      <w:r w:rsidRPr="00F741EA">
        <w:rPr>
          <w:rFonts w:ascii="Times New Roman" w:hAnsi="Times New Roman"/>
          <w:sz w:val="24"/>
          <w:szCs w:val="24"/>
        </w:rPr>
        <w:t xml:space="preserve">в отчете по проведенным инженерно-экологическим испытаниям указано отсутствие в районе территории строительной площадки для строительства объекта </w:t>
      </w:r>
      <w:r w:rsidRPr="00F741EA">
        <w:rPr>
          <w:rFonts w:ascii="Times New Roman" w:hAnsi="Times New Roman"/>
          <w:sz w:val="24"/>
          <w:szCs w:val="24"/>
        </w:rPr>
        <w:lastRenderedPageBreak/>
        <w:t>поверхностных водных объектов, не отражены водные объекты – реки Селемджа и Нижняя Стойба, расположенные, соответственно, в 85 и 134 метрах от проектируемого объекта, при том, что водоохран</w:t>
      </w:r>
      <w:r>
        <w:rPr>
          <w:rFonts w:ascii="Times New Roman" w:hAnsi="Times New Roman"/>
          <w:sz w:val="24"/>
          <w:szCs w:val="24"/>
        </w:rPr>
        <w:t>н</w:t>
      </w:r>
      <w:r w:rsidRPr="00F741EA">
        <w:rPr>
          <w:rFonts w:ascii="Times New Roman" w:hAnsi="Times New Roman"/>
          <w:sz w:val="24"/>
          <w:szCs w:val="24"/>
        </w:rPr>
        <w:t xml:space="preserve">ая зона составляет 200 метров. В градостроительном плане земельного участка, выданного администрацией </w:t>
      </w:r>
      <w:r w:rsidR="008649C0" w:rsidRPr="00F741EA">
        <w:rPr>
          <w:rFonts w:ascii="Times New Roman" w:hAnsi="Times New Roman"/>
          <w:sz w:val="24"/>
          <w:szCs w:val="24"/>
        </w:rPr>
        <w:t>с. Стойба</w:t>
      </w:r>
      <w:r w:rsidRPr="00F741EA">
        <w:rPr>
          <w:rFonts w:ascii="Times New Roman" w:hAnsi="Times New Roman"/>
          <w:sz w:val="24"/>
          <w:szCs w:val="24"/>
        </w:rPr>
        <w:t>, водоохран</w:t>
      </w:r>
      <w:r>
        <w:rPr>
          <w:rFonts w:ascii="Times New Roman" w:hAnsi="Times New Roman"/>
          <w:sz w:val="24"/>
          <w:szCs w:val="24"/>
        </w:rPr>
        <w:t>н</w:t>
      </w:r>
      <w:r w:rsidR="00C760E6">
        <w:rPr>
          <w:rFonts w:ascii="Times New Roman" w:hAnsi="Times New Roman"/>
          <w:sz w:val="24"/>
          <w:szCs w:val="24"/>
        </w:rPr>
        <w:t>ая зона отсутствовала.</w:t>
      </w:r>
    </w:p>
    <w:p w:rsidR="000B66CB" w:rsidRPr="00C11F6A" w:rsidRDefault="000B66CB" w:rsidP="000B66CB">
      <w:pPr>
        <w:tabs>
          <w:tab w:val="left" w:pos="851"/>
        </w:tabs>
        <w:spacing w:after="0" w:line="240" w:lineRule="auto"/>
        <w:ind w:firstLine="709"/>
        <w:jc w:val="both"/>
        <w:rPr>
          <w:rFonts w:ascii="Times New Roman" w:hAnsi="Times New Roman"/>
          <w:sz w:val="24"/>
          <w:szCs w:val="24"/>
        </w:rPr>
      </w:pPr>
      <w:r w:rsidRPr="00C11F6A">
        <w:rPr>
          <w:rFonts w:ascii="Times New Roman" w:hAnsi="Times New Roman"/>
          <w:sz w:val="24"/>
          <w:szCs w:val="24"/>
        </w:rPr>
        <w:t>Согласно план-графику мероприятий по проектированию здания участковой больницы с. Стойба на новом земельном участке: сроки корректировки проектно-сметной документации – до 30.06.2018, прохождение государственной экспертизы проектной документации и результатов инженерных изысканий, проверка достоверности определения сметной сто</w:t>
      </w:r>
      <w:r w:rsidR="00C760E6">
        <w:rPr>
          <w:rFonts w:ascii="Times New Roman" w:hAnsi="Times New Roman"/>
          <w:sz w:val="24"/>
          <w:szCs w:val="24"/>
        </w:rPr>
        <w:t>имости объекта – до 30.08.2018.</w:t>
      </w:r>
    </w:p>
    <w:p w:rsidR="000B66CB" w:rsidRDefault="000B66CB" w:rsidP="000B66CB">
      <w:pPr>
        <w:autoSpaceDE w:val="0"/>
        <w:autoSpaceDN w:val="0"/>
        <w:adjustRightInd w:val="0"/>
        <w:spacing w:after="0" w:line="240" w:lineRule="auto"/>
        <w:ind w:firstLine="708"/>
        <w:jc w:val="both"/>
        <w:rPr>
          <w:rFonts w:ascii="Times New Roman" w:hAnsi="Times New Roman"/>
          <w:sz w:val="24"/>
          <w:szCs w:val="24"/>
        </w:rPr>
      </w:pPr>
      <w:r w:rsidRPr="006D3F8C">
        <w:rPr>
          <w:rFonts w:ascii="Times New Roman" w:hAnsi="Times New Roman"/>
          <w:sz w:val="24"/>
          <w:szCs w:val="24"/>
        </w:rPr>
        <w:t>Подпрограммой «</w:t>
      </w:r>
      <w:r>
        <w:rPr>
          <w:rFonts w:ascii="Times New Roman" w:hAnsi="Times New Roman"/>
          <w:sz w:val="24"/>
          <w:szCs w:val="24"/>
        </w:rPr>
        <w:t>Профилактика заболеваний и формирование здорового образа жизни. Развитие первичной медико-санитарной помощи</w:t>
      </w:r>
      <w:r w:rsidRPr="006D3F8C">
        <w:rPr>
          <w:rFonts w:ascii="Times New Roman" w:hAnsi="Times New Roman"/>
          <w:sz w:val="24"/>
          <w:szCs w:val="24"/>
        </w:rPr>
        <w:t xml:space="preserve">» </w:t>
      </w:r>
      <w:r>
        <w:rPr>
          <w:rFonts w:ascii="Times New Roman" w:hAnsi="Times New Roman"/>
          <w:sz w:val="24"/>
          <w:szCs w:val="24"/>
        </w:rPr>
        <w:t>государственной</w:t>
      </w:r>
      <w:r w:rsidRPr="006D3F8C">
        <w:rPr>
          <w:rFonts w:ascii="Times New Roman" w:hAnsi="Times New Roman"/>
          <w:sz w:val="24"/>
          <w:szCs w:val="24"/>
        </w:rPr>
        <w:t xml:space="preserve"> программы «Развитие здравоохранения Амурской области на 201</w:t>
      </w:r>
      <w:r>
        <w:rPr>
          <w:rFonts w:ascii="Times New Roman" w:hAnsi="Times New Roman"/>
          <w:sz w:val="24"/>
          <w:szCs w:val="24"/>
        </w:rPr>
        <w:t>4-</w:t>
      </w:r>
      <w:r w:rsidRPr="006D3F8C">
        <w:rPr>
          <w:rFonts w:ascii="Times New Roman" w:hAnsi="Times New Roman"/>
          <w:sz w:val="24"/>
          <w:szCs w:val="24"/>
        </w:rPr>
        <w:t>20</w:t>
      </w:r>
      <w:r>
        <w:rPr>
          <w:rFonts w:ascii="Times New Roman" w:hAnsi="Times New Roman"/>
          <w:sz w:val="24"/>
          <w:szCs w:val="24"/>
        </w:rPr>
        <w:t>20</w:t>
      </w:r>
      <w:r w:rsidRPr="006D3F8C">
        <w:rPr>
          <w:rFonts w:ascii="Times New Roman" w:hAnsi="Times New Roman"/>
          <w:sz w:val="24"/>
          <w:szCs w:val="24"/>
        </w:rPr>
        <w:t xml:space="preserve"> годы», утвержденной постановлением Правительства Амурской области от </w:t>
      </w:r>
      <w:r>
        <w:rPr>
          <w:rFonts w:ascii="Times New Roman" w:hAnsi="Times New Roman"/>
          <w:sz w:val="24"/>
          <w:szCs w:val="24"/>
        </w:rPr>
        <w:t>0</w:t>
      </w:r>
      <w:r w:rsidRPr="006D3F8C">
        <w:rPr>
          <w:rFonts w:ascii="Times New Roman" w:hAnsi="Times New Roman"/>
          <w:sz w:val="24"/>
          <w:szCs w:val="24"/>
        </w:rPr>
        <w:t>3.0</w:t>
      </w:r>
      <w:r>
        <w:rPr>
          <w:rFonts w:ascii="Times New Roman" w:hAnsi="Times New Roman"/>
          <w:sz w:val="24"/>
          <w:szCs w:val="24"/>
        </w:rPr>
        <w:t>7</w:t>
      </w:r>
      <w:r w:rsidRPr="006D3F8C">
        <w:rPr>
          <w:rFonts w:ascii="Times New Roman" w:hAnsi="Times New Roman"/>
          <w:sz w:val="24"/>
          <w:szCs w:val="24"/>
        </w:rPr>
        <w:t>.201</w:t>
      </w:r>
      <w:r>
        <w:rPr>
          <w:rFonts w:ascii="Times New Roman" w:hAnsi="Times New Roman"/>
          <w:sz w:val="24"/>
          <w:szCs w:val="24"/>
        </w:rPr>
        <w:t>3</w:t>
      </w:r>
      <w:r w:rsidRPr="006D3F8C">
        <w:rPr>
          <w:rFonts w:ascii="Times New Roman" w:hAnsi="Times New Roman"/>
          <w:sz w:val="24"/>
          <w:szCs w:val="24"/>
        </w:rPr>
        <w:t xml:space="preserve"> № 3</w:t>
      </w:r>
      <w:r>
        <w:rPr>
          <w:rFonts w:ascii="Times New Roman" w:hAnsi="Times New Roman"/>
          <w:sz w:val="24"/>
          <w:szCs w:val="24"/>
        </w:rPr>
        <w:t>02</w:t>
      </w:r>
      <w:r w:rsidRPr="006D3F8C">
        <w:rPr>
          <w:rFonts w:ascii="Times New Roman" w:hAnsi="Times New Roman"/>
          <w:sz w:val="24"/>
          <w:szCs w:val="24"/>
        </w:rPr>
        <w:t xml:space="preserve"> (в редакции от </w:t>
      </w:r>
      <w:r>
        <w:rPr>
          <w:rFonts w:ascii="Times New Roman" w:hAnsi="Times New Roman"/>
          <w:sz w:val="24"/>
          <w:szCs w:val="24"/>
        </w:rPr>
        <w:t>22.02.2018 № 80)</w:t>
      </w:r>
      <w:r w:rsidRPr="006D3F8C">
        <w:rPr>
          <w:rFonts w:ascii="Times New Roman" w:hAnsi="Times New Roman"/>
          <w:sz w:val="24"/>
          <w:szCs w:val="24"/>
        </w:rPr>
        <w:t xml:space="preserve">, </w:t>
      </w:r>
      <w:r>
        <w:rPr>
          <w:rFonts w:ascii="Times New Roman" w:hAnsi="Times New Roman"/>
          <w:sz w:val="24"/>
          <w:szCs w:val="24"/>
        </w:rPr>
        <w:t xml:space="preserve">плановый объем финансирования расходов по мероприятию  «Строительство участковой больницы, с. Стойба Селемджинского района» предусмотрен в размере 68347,8 тыс. рублей, </w:t>
      </w:r>
      <w:r w:rsidRPr="006D3F8C">
        <w:rPr>
          <w:rFonts w:ascii="Times New Roman" w:hAnsi="Times New Roman"/>
          <w:sz w:val="24"/>
          <w:szCs w:val="24"/>
        </w:rPr>
        <w:t>в том числе</w:t>
      </w:r>
      <w:r>
        <w:rPr>
          <w:rFonts w:ascii="Times New Roman" w:hAnsi="Times New Roman"/>
          <w:sz w:val="24"/>
          <w:szCs w:val="24"/>
        </w:rPr>
        <w:t xml:space="preserve">: на 2017 год – 3562,3 тыс. рублей, 2018 год – 52320,7 тыс. рублей, 2019 год – 12464,8 тыс. рублей, срок планируемого ввода объекта в эксплуатацию – 2019 год. </w:t>
      </w:r>
      <w:r w:rsidRPr="004829FF">
        <w:rPr>
          <w:rFonts w:ascii="Times New Roman" w:hAnsi="Times New Roman"/>
          <w:sz w:val="24"/>
          <w:szCs w:val="24"/>
        </w:rPr>
        <w:t>Задержки на этапе проектирования объекта на срок 10 месяцев создают риски неисполнения предусмотренных го</w:t>
      </w:r>
      <w:r w:rsidR="008D63A5">
        <w:rPr>
          <w:rFonts w:ascii="Times New Roman" w:hAnsi="Times New Roman"/>
          <w:sz w:val="24"/>
          <w:szCs w:val="24"/>
        </w:rPr>
        <w:t>сударственной программой сроков.</w:t>
      </w:r>
    </w:p>
    <w:p w:rsidR="000B66CB" w:rsidRDefault="000B66CB" w:rsidP="000B66CB">
      <w:pPr>
        <w:pStyle w:val="afa"/>
        <w:numPr>
          <w:ilvl w:val="0"/>
          <w:numId w:val="22"/>
        </w:numPr>
        <w:ind w:left="0" w:firstLine="709"/>
        <w:jc w:val="both"/>
        <w:rPr>
          <w:sz w:val="24"/>
          <w:szCs w:val="24"/>
        </w:rPr>
      </w:pPr>
      <w:r w:rsidRPr="00A869D7">
        <w:rPr>
          <w:b/>
          <w:i/>
          <w:sz w:val="24"/>
          <w:szCs w:val="24"/>
        </w:rPr>
        <w:t>«Строительство фельдшерско-акушерского пункта, с. Игнашино Сковородинского района».</w:t>
      </w:r>
      <w:r>
        <w:rPr>
          <w:sz w:val="24"/>
          <w:szCs w:val="24"/>
        </w:rPr>
        <w:t xml:space="preserve"> </w:t>
      </w:r>
      <w:r w:rsidRPr="006B2747">
        <w:rPr>
          <w:sz w:val="24"/>
          <w:szCs w:val="24"/>
        </w:rPr>
        <w:t>Финансирование расходов по объекту осуществлялось в рамках мероприятий подпрограммы «</w:t>
      </w:r>
      <w:r w:rsidRPr="006B2747">
        <w:rPr>
          <w:rFonts w:eastAsiaTheme="minorHAnsi"/>
          <w:sz w:val="24"/>
          <w:szCs w:val="24"/>
        </w:rPr>
        <w:t>Профилактика заболеваний и формирование здорового образа жизни. Развитие первичной медико-санитарной помощи</w:t>
      </w:r>
      <w:r w:rsidRPr="006B2747">
        <w:rPr>
          <w:sz w:val="24"/>
          <w:szCs w:val="24"/>
        </w:rPr>
        <w:t>» государственной программы «Развитие здравоохранения Амурской области на 2014-2020 годы», утвержденной постановлением Правительства Амурск</w:t>
      </w:r>
      <w:r w:rsidR="008D63A5">
        <w:rPr>
          <w:sz w:val="24"/>
          <w:szCs w:val="24"/>
        </w:rPr>
        <w:t>ой области от 03.07.2013 № 302.</w:t>
      </w:r>
    </w:p>
    <w:p w:rsidR="000B66CB" w:rsidRDefault="000B66CB" w:rsidP="000B66C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4"/>
          <w:szCs w:val="24"/>
        </w:rPr>
        <w:t>В</w:t>
      </w:r>
      <w:r w:rsidRPr="006B2747">
        <w:rPr>
          <w:rFonts w:ascii="Times New Roman" w:hAnsi="Times New Roman" w:cs="Times New Roman"/>
          <w:sz w:val="24"/>
          <w:szCs w:val="24"/>
        </w:rPr>
        <w:t xml:space="preserve"> 2017 году по мероприятию «Строительство</w:t>
      </w:r>
      <w:r w:rsidRPr="00E906AD">
        <w:rPr>
          <w:rFonts w:ascii="Times New Roman" w:hAnsi="Times New Roman"/>
          <w:sz w:val="24"/>
          <w:szCs w:val="24"/>
        </w:rPr>
        <w:t xml:space="preserve"> </w:t>
      </w:r>
      <w:r>
        <w:rPr>
          <w:rFonts w:ascii="Times New Roman" w:hAnsi="Times New Roman"/>
          <w:sz w:val="24"/>
          <w:szCs w:val="24"/>
        </w:rPr>
        <w:t xml:space="preserve">фельдшерско-акушерского пункта, </w:t>
      </w:r>
      <w:r>
        <w:rPr>
          <w:rFonts w:ascii="Times New Roman" w:hAnsi="Times New Roman"/>
          <w:sz w:val="24"/>
          <w:szCs w:val="24"/>
        </w:rPr>
        <w:br/>
        <w:t>с. Игнашино Сковородинского района»: доведены л</w:t>
      </w:r>
      <w:r w:rsidRPr="00FA139C">
        <w:rPr>
          <w:rFonts w:ascii="Times New Roman" w:hAnsi="Times New Roman"/>
          <w:sz w:val="24"/>
          <w:szCs w:val="24"/>
        </w:rPr>
        <w:t>имиты бюджетных обязательств</w:t>
      </w:r>
      <w:r>
        <w:rPr>
          <w:rFonts w:ascii="Times New Roman" w:hAnsi="Times New Roman"/>
          <w:sz w:val="24"/>
          <w:szCs w:val="24"/>
        </w:rPr>
        <w:t xml:space="preserve"> - </w:t>
      </w:r>
      <w:r>
        <w:rPr>
          <w:rFonts w:ascii="Times New Roman" w:hAnsi="Times New Roman"/>
          <w:sz w:val="24"/>
          <w:szCs w:val="24"/>
        </w:rPr>
        <w:br/>
        <w:t xml:space="preserve">2428,0 </w:t>
      </w:r>
      <w:r w:rsidRPr="006D3F8C">
        <w:rPr>
          <w:rFonts w:ascii="Times New Roman" w:hAnsi="Times New Roman"/>
          <w:sz w:val="24"/>
          <w:szCs w:val="24"/>
        </w:rPr>
        <w:t>тыс. рублей</w:t>
      </w:r>
      <w:r>
        <w:rPr>
          <w:rFonts w:ascii="Times New Roman" w:hAnsi="Times New Roman"/>
          <w:sz w:val="24"/>
          <w:szCs w:val="24"/>
        </w:rPr>
        <w:t xml:space="preserve">, приняты бюджетные обязательства на сумму 2200,0 тыс. рублей, произведены кассовые расходы в объеме 996,4 тыс. рублей, или 41,0 процент доведенных лимитов, </w:t>
      </w:r>
      <w:r w:rsidRPr="006B2747">
        <w:rPr>
          <w:rFonts w:ascii="Times New Roman" w:hAnsi="Times New Roman" w:cs="Times New Roman"/>
          <w:sz w:val="24"/>
          <w:szCs w:val="24"/>
        </w:rPr>
        <w:t>причинами низкого уровня исполнения яв</w:t>
      </w:r>
      <w:r>
        <w:rPr>
          <w:rFonts w:ascii="Times New Roman" w:hAnsi="Times New Roman" w:cs="Times New Roman"/>
          <w:sz w:val="24"/>
          <w:szCs w:val="24"/>
        </w:rPr>
        <w:t>илось</w:t>
      </w:r>
      <w:r w:rsidRPr="006B2747">
        <w:rPr>
          <w:rFonts w:ascii="Times New Roman" w:hAnsi="Times New Roman" w:cs="Times New Roman"/>
          <w:sz w:val="24"/>
          <w:szCs w:val="24"/>
        </w:rPr>
        <w:t xml:space="preserve"> нарушение подрядной организацией сроков исполнения контракта.</w:t>
      </w:r>
      <w:r>
        <w:rPr>
          <w:rFonts w:ascii="Times New Roman" w:hAnsi="Times New Roman" w:cs="Times New Roman"/>
          <w:sz w:val="24"/>
          <w:szCs w:val="24"/>
        </w:rPr>
        <w:t xml:space="preserve"> С</w:t>
      </w:r>
      <w:r w:rsidRPr="006B2747">
        <w:rPr>
          <w:rFonts w:ascii="Times New Roman" w:hAnsi="Times New Roman" w:cs="Times New Roman"/>
          <w:sz w:val="24"/>
          <w:szCs w:val="24"/>
        </w:rPr>
        <w:t>редства областного бюджета использованы на оплату первого этапа работ</w:t>
      </w:r>
      <w:r>
        <w:rPr>
          <w:rFonts w:ascii="Times New Roman" w:hAnsi="Times New Roman" w:cs="Times New Roman"/>
          <w:sz w:val="24"/>
          <w:szCs w:val="24"/>
        </w:rPr>
        <w:t xml:space="preserve"> </w:t>
      </w:r>
      <w:r>
        <w:rPr>
          <w:rFonts w:ascii="Times New Roman" w:hAnsi="Times New Roman"/>
          <w:sz w:val="24"/>
          <w:szCs w:val="24"/>
        </w:rPr>
        <w:t>ООО «Амурское региональное управление исполнения государственного заказа» в рамках государственного контракта № 55</w:t>
      </w:r>
      <w:r w:rsidRPr="00FA139C">
        <w:rPr>
          <w:rFonts w:ascii="Times New Roman" w:hAnsi="Times New Roman"/>
          <w:sz w:val="24"/>
          <w:szCs w:val="24"/>
        </w:rPr>
        <w:t xml:space="preserve"> от </w:t>
      </w:r>
      <w:r>
        <w:rPr>
          <w:rFonts w:ascii="Times New Roman" w:hAnsi="Times New Roman"/>
          <w:sz w:val="24"/>
          <w:szCs w:val="24"/>
        </w:rPr>
        <w:t>10</w:t>
      </w:r>
      <w:r w:rsidRPr="00FA139C">
        <w:rPr>
          <w:rFonts w:ascii="Times New Roman" w:hAnsi="Times New Roman"/>
          <w:sz w:val="24"/>
          <w:szCs w:val="24"/>
        </w:rPr>
        <w:t>.07.201</w:t>
      </w:r>
      <w:r>
        <w:rPr>
          <w:rFonts w:ascii="Times New Roman" w:hAnsi="Times New Roman"/>
          <w:sz w:val="24"/>
          <w:szCs w:val="24"/>
        </w:rPr>
        <w:t>7</w:t>
      </w:r>
      <w:r w:rsidRPr="00FA139C">
        <w:rPr>
          <w:rFonts w:ascii="Times New Roman" w:hAnsi="Times New Roman"/>
          <w:sz w:val="24"/>
          <w:szCs w:val="24"/>
        </w:rPr>
        <w:t xml:space="preserve"> на выполнение работ </w:t>
      </w:r>
      <w:r>
        <w:rPr>
          <w:rFonts w:ascii="Times New Roman" w:hAnsi="Times New Roman"/>
          <w:sz w:val="24"/>
          <w:szCs w:val="24"/>
        </w:rPr>
        <w:t>по разработке проектной и рабочей документации по объекту:</w:t>
      </w:r>
      <w:r w:rsidRPr="00DE63A6">
        <w:rPr>
          <w:rFonts w:ascii="Times New Roman" w:hAnsi="Times New Roman"/>
          <w:sz w:val="24"/>
          <w:szCs w:val="24"/>
        </w:rPr>
        <w:t xml:space="preserve"> </w:t>
      </w:r>
      <w:r>
        <w:rPr>
          <w:rFonts w:ascii="Times New Roman" w:hAnsi="Times New Roman"/>
          <w:sz w:val="24"/>
          <w:szCs w:val="24"/>
        </w:rPr>
        <w:t>«Строительство фельдшерско-акушерского пункта, с. Игнашино Сковородинского района».</w:t>
      </w:r>
    </w:p>
    <w:p w:rsidR="000B66CB" w:rsidRDefault="000B66CB" w:rsidP="000B66CB">
      <w:pPr>
        <w:tabs>
          <w:tab w:val="left" w:pos="851"/>
        </w:tabs>
        <w:spacing w:after="0" w:line="240" w:lineRule="auto"/>
        <w:ind w:firstLine="709"/>
        <w:jc w:val="both"/>
        <w:rPr>
          <w:rFonts w:ascii="Times New Roman" w:hAnsi="Times New Roman"/>
          <w:sz w:val="24"/>
          <w:szCs w:val="24"/>
        </w:rPr>
      </w:pPr>
      <w:r w:rsidRPr="00F741EA">
        <w:rPr>
          <w:rFonts w:ascii="Times New Roman" w:hAnsi="Times New Roman"/>
          <w:sz w:val="24"/>
          <w:szCs w:val="24"/>
        </w:rPr>
        <w:t xml:space="preserve">Работы по второму этапу </w:t>
      </w:r>
      <w:r w:rsidRPr="006B2747">
        <w:rPr>
          <w:rFonts w:ascii="Times New Roman" w:hAnsi="Times New Roman" w:cs="Times New Roman"/>
          <w:sz w:val="24"/>
          <w:szCs w:val="24"/>
        </w:rPr>
        <w:t>при предусмотренных сроках – до 3</w:t>
      </w:r>
      <w:r>
        <w:rPr>
          <w:rFonts w:ascii="Times New Roman" w:hAnsi="Times New Roman" w:cs="Times New Roman"/>
          <w:sz w:val="24"/>
          <w:szCs w:val="24"/>
        </w:rPr>
        <w:t>1</w:t>
      </w:r>
      <w:r w:rsidRPr="006B2747">
        <w:rPr>
          <w:rFonts w:ascii="Times New Roman" w:hAnsi="Times New Roman" w:cs="Times New Roman"/>
          <w:sz w:val="24"/>
          <w:szCs w:val="24"/>
        </w:rPr>
        <w:t>.1</w:t>
      </w:r>
      <w:r>
        <w:rPr>
          <w:rFonts w:ascii="Times New Roman" w:hAnsi="Times New Roman" w:cs="Times New Roman"/>
          <w:sz w:val="24"/>
          <w:szCs w:val="24"/>
        </w:rPr>
        <w:t>0</w:t>
      </w:r>
      <w:r w:rsidRPr="006B2747">
        <w:rPr>
          <w:rFonts w:ascii="Times New Roman" w:hAnsi="Times New Roman" w:cs="Times New Roman"/>
          <w:sz w:val="24"/>
          <w:szCs w:val="24"/>
        </w:rPr>
        <w:t xml:space="preserve">.2017, не выполнены до настоящего времени. </w:t>
      </w:r>
      <w:r>
        <w:rPr>
          <w:rFonts w:ascii="Times New Roman" w:hAnsi="Times New Roman" w:cs="Times New Roman"/>
          <w:sz w:val="24"/>
          <w:szCs w:val="24"/>
        </w:rPr>
        <w:t>Причиной невыполнения работ в установленные контрактом сроки –</w:t>
      </w:r>
      <w:r w:rsidRPr="00D5383F">
        <w:rPr>
          <w:rFonts w:ascii="Times New Roman" w:hAnsi="Times New Roman"/>
          <w:sz w:val="24"/>
          <w:szCs w:val="24"/>
        </w:rPr>
        <w:t xml:space="preserve">отрицательное заключение государственной экспертизы по проектной документации по объекту «Строительство фельдшерско-акушерского пункта, с. Игнашино Сковородинского района», выполненной </w:t>
      </w:r>
      <w:r w:rsidRPr="008C18A3">
        <w:rPr>
          <w:rFonts w:ascii="Times New Roman" w:hAnsi="Times New Roman"/>
          <w:sz w:val="24"/>
          <w:szCs w:val="24"/>
        </w:rPr>
        <w:t>ООО «Амурское региональное управление исполнения государственного заказа</w:t>
      </w:r>
      <w:r w:rsidR="008D63A5">
        <w:rPr>
          <w:rFonts w:ascii="Times New Roman" w:hAnsi="Times New Roman"/>
          <w:sz w:val="24"/>
          <w:szCs w:val="24"/>
        </w:rPr>
        <w:t>».</w:t>
      </w:r>
    </w:p>
    <w:p w:rsidR="000B66CB" w:rsidRPr="004760E2" w:rsidRDefault="000B66CB" w:rsidP="000B66CB">
      <w:pPr>
        <w:tabs>
          <w:tab w:val="left" w:pos="851"/>
        </w:tabs>
        <w:spacing w:after="0" w:line="240" w:lineRule="auto"/>
        <w:ind w:firstLine="709"/>
        <w:jc w:val="both"/>
        <w:rPr>
          <w:rFonts w:ascii="Times New Roman" w:hAnsi="Times New Roman"/>
          <w:sz w:val="24"/>
          <w:szCs w:val="24"/>
        </w:rPr>
      </w:pPr>
      <w:r w:rsidRPr="000F7062">
        <w:rPr>
          <w:rFonts w:ascii="Times New Roman" w:hAnsi="Times New Roman"/>
          <w:color w:val="000000"/>
          <w:sz w:val="24"/>
          <w:szCs w:val="24"/>
        </w:rPr>
        <w:t xml:space="preserve">Постановлением Правительства области от 24.04.2018 №186 внесены изменения в государственную программу «Развитие здравоохранения Амурской области на </w:t>
      </w:r>
      <w:r>
        <w:rPr>
          <w:rFonts w:ascii="Times New Roman" w:hAnsi="Times New Roman"/>
          <w:color w:val="000000"/>
          <w:sz w:val="24"/>
          <w:szCs w:val="24"/>
        </w:rPr>
        <w:br/>
      </w:r>
      <w:r w:rsidRPr="000F7062">
        <w:rPr>
          <w:rFonts w:ascii="Times New Roman" w:hAnsi="Times New Roman"/>
          <w:color w:val="000000"/>
          <w:sz w:val="24"/>
          <w:szCs w:val="24"/>
        </w:rPr>
        <w:t xml:space="preserve">2014–2020 годы», утвержденную постановлением Правительства области от 03.07.2013 </w:t>
      </w:r>
      <w:r>
        <w:rPr>
          <w:rFonts w:ascii="Times New Roman" w:hAnsi="Times New Roman"/>
          <w:color w:val="000000"/>
          <w:sz w:val="24"/>
          <w:szCs w:val="24"/>
        </w:rPr>
        <w:br/>
      </w:r>
      <w:r w:rsidRPr="000F7062">
        <w:rPr>
          <w:rFonts w:ascii="Times New Roman" w:hAnsi="Times New Roman"/>
          <w:color w:val="000000"/>
          <w:sz w:val="24"/>
          <w:szCs w:val="24"/>
        </w:rPr>
        <w:t>№ 302</w:t>
      </w:r>
      <w:r>
        <w:rPr>
          <w:rFonts w:ascii="Times New Roman" w:hAnsi="Times New Roman"/>
          <w:color w:val="000000"/>
          <w:sz w:val="24"/>
          <w:szCs w:val="24"/>
        </w:rPr>
        <w:t xml:space="preserve">, в </w:t>
      </w:r>
      <w:r w:rsidRPr="004760E2">
        <w:rPr>
          <w:rFonts w:ascii="Times New Roman" w:hAnsi="Times New Roman"/>
          <w:color w:val="000000"/>
          <w:sz w:val="24"/>
          <w:szCs w:val="24"/>
        </w:rPr>
        <w:t xml:space="preserve">отношении </w:t>
      </w:r>
      <w:r w:rsidRPr="004760E2">
        <w:rPr>
          <w:rFonts w:ascii="Times New Roman" w:hAnsi="Times New Roman"/>
          <w:sz w:val="24"/>
          <w:szCs w:val="24"/>
        </w:rPr>
        <w:t xml:space="preserve">мероприятия «Строительство фельдшерско-акушерского пункта, </w:t>
      </w:r>
      <w:r>
        <w:rPr>
          <w:rFonts w:ascii="Times New Roman" w:hAnsi="Times New Roman"/>
          <w:sz w:val="24"/>
          <w:szCs w:val="24"/>
        </w:rPr>
        <w:br/>
      </w:r>
      <w:r w:rsidRPr="004760E2">
        <w:rPr>
          <w:rFonts w:ascii="Times New Roman" w:hAnsi="Times New Roman"/>
          <w:sz w:val="24"/>
          <w:szCs w:val="24"/>
        </w:rPr>
        <w:t xml:space="preserve">с. Игнашино Сковородинского района» плановые объемы финансирования уменьшены </w:t>
      </w:r>
      <w:r>
        <w:rPr>
          <w:rFonts w:ascii="Times New Roman" w:hAnsi="Times New Roman"/>
          <w:sz w:val="24"/>
          <w:szCs w:val="24"/>
        </w:rPr>
        <w:br/>
      </w:r>
      <w:r w:rsidRPr="004760E2">
        <w:rPr>
          <w:rFonts w:ascii="Times New Roman" w:hAnsi="Times New Roman"/>
          <w:sz w:val="24"/>
          <w:szCs w:val="24"/>
        </w:rPr>
        <w:t>с 9691,5 тыс. рублей до 2428,0 тыс. рублей</w:t>
      </w:r>
      <w:r>
        <w:rPr>
          <w:rFonts w:ascii="Times New Roman" w:hAnsi="Times New Roman"/>
          <w:sz w:val="24"/>
          <w:szCs w:val="24"/>
        </w:rPr>
        <w:t xml:space="preserve"> - объема расходов на проектно-изыскательские работы и подготовку проектно-сметной документации, расходы на выполнение строительно-монтажных работ не предусмотрены. В разделе «Описание системы основных мероприятий и мероприятий» отражено, что «с</w:t>
      </w:r>
      <w:r w:rsidRPr="004760E2">
        <w:rPr>
          <w:rFonts w:ascii="Times New Roman" w:hAnsi="Times New Roman"/>
          <w:sz w:val="24"/>
          <w:szCs w:val="24"/>
        </w:rPr>
        <w:t>тоимость строительства новых зданий медицинских организаций по типовому проекту традиционным способом в 3-4 раза превышает стоимость и сроки возведения объекта по модульной технологии. В результате реализации мероприятия в 2018 году за счет средств областного бюджета планируется возведение 1 фельдшерско-</w:t>
      </w:r>
      <w:r w:rsidRPr="004760E2">
        <w:rPr>
          <w:rFonts w:ascii="Times New Roman" w:hAnsi="Times New Roman"/>
          <w:sz w:val="24"/>
          <w:szCs w:val="24"/>
        </w:rPr>
        <w:lastRenderedPageBreak/>
        <w:t xml:space="preserve">акушерского пункта </w:t>
      </w:r>
      <w:r>
        <w:rPr>
          <w:rFonts w:ascii="Times New Roman" w:hAnsi="Times New Roman"/>
          <w:sz w:val="24"/>
          <w:szCs w:val="24"/>
        </w:rPr>
        <w:t xml:space="preserve">из </w:t>
      </w:r>
      <w:r w:rsidRPr="004760E2">
        <w:rPr>
          <w:rFonts w:ascii="Times New Roman" w:hAnsi="Times New Roman"/>
          <w:sz w:val="24"/>
          <w:szCs w:val="24"/>
        </w:rPr>
        <w:t>быстровозводимых модульных конструкций, включая подключение к наружным сетям, подвод наружных коммуникаций и благоустройство территории</w:t>
      </w:r>
      <w:r>
        <w:rPr>
          <w:rFonts w:ascii="Times New Roman" w:hAnsi="Times New Roman"/>
          <w:sz w:val="24"/>
          <w:szCs w:val="24"/>
        </w:rPr>
        <w:t>»</w:t>
      </w:r>
      <w:r w:rsidRPr="004760E2">
        <w:rPr>
          <w:rFonts w:ascii="Times New Roman" w:hAnsi="Times New Roman"/>
          <w:sz w:val="24"/>
          <w:szCs w:val="24"/>
        </w:rPr>
        <w:t>.</w:t>
      </w:r>
    </w:p>
    <w:p w:rsidR="000B66CB" w:rsidRDefault="000B66CB" w:rsidP="000B66CB">
      <w:pPr>
        <w:tabs>
          <w:tab w:val="left" w:pos="851"/>
        </w:tabs>
        <w:spacing w:after="0" w:line="240" w:lineRule="auto"/>
        <w:ind w:firstLine="709"/>
        <w:jc w:val="both"/>
        <w:rPr>
          <w:rFonts w:ascii="Times New Roman" w:hAnsi="Times New Roman"/>
          <w:sz w:val="24"/>
        </w:rPr>
      </w:pPr>
      <w:r w:rsidRPr="00836328">
        <w:rPr>
          <w:rFonts w:ascii="Times New Roman" w:hAnsi="Times New Roman"/>
          <w:sz w:val="24"/>
          <w:szCs w:val="24"/>
        </w:rPr>
        <w:t xml:space="preserve">Подтвержденный нормативным правовым актом отказ от плана по строительству объекта - фельдшерско-акушерский пункт в с. Игнашино Сковородинского района в соответствии с техническим заданием, выданным на выполнение работ по разработке проектной и рабочей документации по объекту, </w:t>
      </w:r>
      <w:r w:rsidRPr="00836328">
        <w:rPr>
          <w:rFonts w:ascii="Times New Roman" w:eastAsia="Lucida Sans Unicode" w:hAnsi="Times New Roman"/>
          <w:sz w:val="24"/>
          <w:szCs w:val="24"/>
        </w:rPr>
        <w:t xml:space="preserve">свидетельствует о недостижении заданного результата и необеспечении принципа эффективности использования бюджетных средств, предусмотренного статьей 34 Бюджетного кодекса Российской Федерации, </w:t>
      </w:r>
      <w:r w:rsidRPr="00836328">
        <w:rPr>
          <w:rFonts w:ascii="Times New Roman" w:hAnsi="Times New Roman"/>
          <w:sz w:val="24"/>
          <w:szCs w:val="24"/>
        </w:rPr>
        <w:t>в отношении средств, использованных на подготовку проектной документации, в объеме 996,4 тыс. рублей по проекту, не востребованному к строительству, ведет к росту числа объектов незавершенного строительства и свидетельствует о необходимости п</w:t>
      </w:r>
      <w:r w:rsidRPr="00836328">
        <w:rPr>
          <w:rFonts w:ascii="Times New Roman" w:hAnsi="Times New Roman"/>
          <w:sz w:val="24"/>
        </w:rPr>
        <w:t>ринятия мер к повышению качества планирования расходов по мероприятиям государственных программ, предусматривающим бюджетные инвестиции в объе</w:t>
      </w:r>
      <w:r w:rsidR="008D63A5">
        <w:rPr>
          <w:rFonts w:ascii="Times New Roman" w:hAnsi="Times New Roman"/>
          <w:sz w:val="24"/>
        </w:rPr>
        <w:t>кты капитального строительства.</w:t>
      </w:r>
    </w:p>
    <w:p w:rsidR="000B66CB" w:rsidRPr="00836328" w:rsidRDefault="000B66CB" w:rsidP="000B66CB">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ГКУ Амурской области «Строитель»</w:t>
      </w:r>
      <w:r w:rsidRPr="00D5383F">
        <w:rPr>
          <w:rFonts w:ascii="Times New Roman" w:hAnsi="Times New Roman"/>
          <w:sz w:val="24"/>
          <w:szCs w:val="24"/>
        </w:rPr>
        <w:t xml:space="preserve"> принято Решение об одностороннем отказе от исполнения контракта от 10.07.2017 № 55, которое письмом от 21.05.2018 № 08-02-1071 направлено в адрес ООО «Амурское региональное управление исполнения государственного заказа».</w:t>
      </w:r>
      <w:r>
        <w:rPr>
          <w:rFonts w:ascii="Times New Roman" w:hAnsi="Times New Roman"/>
          <w:sz w:val="24"/>
          <w:szCs w:val="24"/>
        </w:rPr>
        <w:t xml:space="preserve"> Контрольно-счетная палата области отмечает наличие </w:t>
      </w:r>
      <w:r w:rsidRPr="00836328">
        <w:rPr>
          <w:rFonts w:ascii="Times New Roman" w:hAnsi="Times New Roman"/>
          <w:sz w:val="24"/>
        </w:rPr>
        <w:t>риск</w:t>
      </w:r>
      <w:r>
        <w:rPr>
          <w:rFonts w:ascii="Times New Roman" w:hAnsi="Times New Roman"/>
          <w:sz w:val="24"/>
        </w:rPr>
        <w:t>ов</w:t>
      </w:r>
      <w:r w:rsidRPr="00836328">
        <w:rPr>
          <w:rFonts w:ascii="Times New Roman" w:hAnsi="Times New Roman"/>
          <w:sz w:val="24"/>
        </w:rPr>
        <w:t xml:space="preserve"> предъявления и взыскания подрядчиком на основании статьи 717 Гражданского кодекса Российской Федерации </w:t>
      </w:r>
      <w:r w:rsidRPr="00836328">
        <w:rPr>
          <w:rFonts w:ascii="Times New Roman" w:hAnsi="Times New Roman"/>
          <w:sz w:val="24"/>
          <w:szCs w:val="24"/>
        </w:rPr>
        <w:t>части установленной контрактом цены пропорционально части работы, выполненной до получения извещения об отказе заказчика от исполнения договора, что повлечет неэффективное использование средств областного бюджета, выраженное в расходовании средств на проектные работы по объекту, не предусмотренному к строительству.</w:t>
      </w:r>
    </w:p>
    <w:p w:rsidR="000B66CB" w:rsidRPr="00C474AC" w:rsidRDefault="000B66CB" w:rsidP="000B66CB">
      <w:pPr>
        <w:pStyle w:val="afa"/>
        <w:numPr>
          <w:ilvl w:val="0"/>
          <w:numId w:val="22"/>
        </w:numPr>
        <w:ind w:left="0" w:firstLine="709"/>
        <w:jc w:val="both"/>
        <w:rPr>
          <w:sz w:val="24"/>
          <w:szCs w:val="24"/>
        </w:rPr>
      </w:pPr>
      <w:r w:rsidRPr="00A869D7">
        <w:rPr>
          <w:b/>
          <w:i/>
          <w:sz w:val="24"/>
          <w:szCs w:val="24"/>
        </w:rPr>
        <w:t>«Строительство здания родильного дома на 150 коек ГАУЗ Амурской области «Благовещенская городская клиническая больница».</w:t>
      </w:r>
      <w:r w:rsidRPr="00C474AC">
        <w:rPr>
          <w:sz w:val="24"/>
          <w:szCs w:val="24"/>
        </w:rPr>
        <w:t xml:space="preserve"> Финансирование расходов по объекту осуществлялось в рамках мероприятий подпрограммы «Охрана здоровья матери и ребенка» государственной программы «Развитие здравоохранения Амурской области на </w:t>
      </w:r>
      <w:r>
        <w:rPr>
          <w:sz w:val="24"/>
          <w:szCs w:val="24"/>
        </w:rPr>
        <w:br/>
      </w:r>
      <w:r w:rsidRPr="00C474AC">
        <w:rPr>
          <w:sz w:val="24"/>
          <w:szCs w:val="24"/>
        </w:rPr>
        <w:t>2014-2020 годы», утвержденной постановлением Правительства Амурской области от 03.07.2013 № 302.</w:t>
      </w:r>
    </w:p>
    <w:p w:rsidR="000B66CB" w:rsidRDefault="000B66CB" w:rsidP="000B66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2017 году по мероприятию «С</w:t>
      </w:r>
      <w:r w:rsidRPr="007D29D0">
        <w:rPr>
          <w:rFonts w:ascii="Times New Roman" w:hAnsi="Times New Roman"/>
          <w:sz w:val="24"/>
          <w:szCs w:val="24"/>
        </w:rPr>
        <w:t>троительство здания родильного дома на 150 коек ГАУЗ АО «Благовещенская городская клиническая больница»</w:t>
      </w:r>
      <w:r>
        <w:rPr>
          <w:rFonts w:ascii="Times New Roman" w:hAnsi="Times New Roman"/>
          <w:sz w:val="24"/>
          <w:szCs w:val="24"/>
        </w:rPr>
        <w:t xml:space="preserve">: </w:t>
      </w:r>
      <w:r w:rsidRPr="00E97FFE">
        <w:rPr>
          <w:rFonts w:ascii="Times New Roman" w:hAnsi="Times New Roman"/>
          <w:sz w:val="24"/>
          <w:szCs w:val="24"/>
        </w:rPr>
        <w:t xml:space="preserve">доведены лимиты бюджетных обязательств - </w:t>
      </w:r>
      <w:r>
        <w:rPr>
          <w:rFonts w:ascii="Times New Roman" w:hAnsi="Times New Roman"/>
          <w:sz w:val="24"/>
          <w:szCs w:val="24"/>
        </w:rPr>
        <w:t>994</w:t>
      </w:r>
      <w:r w:rsidRPr="00E97FFE">
        <w:rPr>
          <w:rFonts w:ascii="Times New Roman" w:hAnsi="Times New Roman"/>
          <w:sz w:val="24"/>
          <w:szCs w:val="24"/>
        </w:rPr>
        <w:t>,</w:t>
      </w:r>
      <w:r>
        <w:rPr>
          <w:rFonts w:ascii="Times New Roman" w:hAnsi="Times New Roman"/>
          <w:sz w:val="24"/>
          <w:szCs w:val="24"/>
        </w:rPr>
        <w:t>5</w:t>
      </w:r>
      <w:r w:rsidRPr="00E97FFE">
        <w:rPr>
          <w:rFonts w:ascii="Times New Roman" w:hAnsi="Times New Roman"/>
          <w:sz w:val="24"/>
          <w:szCs w:val="24"/>
        </w:rPr>
        <w:t xml:space="preserve"> тыс. рублей, приняты бюджетные обязательства на сумму </w:t>
      </w:r>
      <w:r>
        <w:rPr>
          <w:rFonts w:ascii="Times New Roman" w:hAnsi="Times New Roman"/>
          <w:sz w:val="24"/>
          <w:szCs w:val="24"/>
        </w:rPr>
        <w:t>1</w:t>
      </w:r>
      <w:r w:rsidRPr="00E97FFE">
        <w:rPr>
          <w:rFonts w:ascii="Times New Roman" w:hAnsi="Times New Roman"/>
          <w:sz w:val="24"/>
          <w:szCs w:val="24"/>
        </w:rPr>
        <w:t>2</w:t>
      </w:r>
      <w:r>
        <w:rPr>
          <w:rFonts w:ascii="Times New Roman" w:hAnsi="Times New Roman"/>
          <w:sz w:val="24"/>
          <w:szCs w:val="24"/>
        </w:rPr>
        <w:t>589</w:t>
      </w:r>
      <w:r w:rsidRPr="00E97FFE">
        <w:rPr>
          <w:rFonts w:ascii="Times New Roman" w:hAnsi="Times New Roman"/>
          <w:sz w:val="24"/>
          <w:szCs w:val="24"/>
        </w:rPr>
        <w:t>,</w:t>
      </w:r>
      <w:r>
        <w:rPr>
          <w:rFonts w:ascii="Times New Roman" w:hAnsi="Times New Roman"/>
          <w:sz w:val="24"/>
          <w:szCs w:val="24"/>
        </w:rPr>
        <w:t>9</w:t>
      </w:r>
      <w:r w:rsidRPr="00E97FFE">
        <w:rPr>
          <w:rFonts w:ascii="Times New Roman" w:hAnsi="Times New Roman"/>
          <w:sz w:val="24"/>
          <w:szCs w:val="24"/>
        </w:rPr>
        <w:t xml:space="preserve"> тыс. рублей, произведены кассовые расходы в объеме </w:t>
      </w:r>
      <w:r>
        <w:rPr>
          <w:rFonts w:ascii="Times New Roman" w:hAnsi="Times New Roman"/>
          <w:sz w:val="24"/>
          <w:szCs w:val="24"/>
        </w:rPr>
        <w:t xml:space="preserve">584,4 тыс. рублей, или </w:t>
      </w:r>
      <w:r>
        <w:rPr>
          <w:rFonts w:ascii="Times New Roman" w:hAnsi="Times New Roman"/>
          <w:sz w:val="24"/>
          <w:szCs w:val="24"/>
        </w:rPr>
        <w:br/>
        <w:t>58</w:t>
      </w:r>
      <w:r w:rsidRPr="00E97FFE">
        <w:rPr>
          <w:rFonts w:ascii="Times New Roman" w:hAnsi="Times New Roman"/>
          <w:sz w:val="24"/>
          <w:szCs w:val="24"/>
        </w:rPr>
        <w:t>,</w:t>
      </w:r>
      <w:r>
        <w:rPr>
          <w:rFonts w:ascii="Times New Roman" w:hAnsi="Times New Roman"/>
          <w:sz w:val="24"/>
          <w:szCs w:val="24"/>
        </w:rPr>
        <w:t>8</w:t>
      </w:r>
      <w:r w:rsidRPr="00E97FFE">
        <w:rPr>
          <w:rFonts w:ascii="Times New Roman" w:hAnsi="Times New Roman"/>
          <w:sz w:val="24"/>
          <w:szCs w:val="24"/>
        </w:rPr>
        <w:t xml:space="preserve"> процент</w:t>
      </w:r>
      <w:r>
        <w:rPr>
          <w:rFonts w:ascii="Times New Roman" w:hAnsi="Times New Roman"/>
          <w:sz w:val="24"/>
          <w:szCs w:val="24"/>
        </w:rPr>
        <w:t>а</w:t>
      </w:r>
      <w:r w:rsidRPr="00E97FFE">
        <w:rPr>
          <w:rFonts w:ascii="Times New Roman" w:hAnsi="Times New Roman"/>
          <w:sz w:val="24"/>
          <w:szCs w:val="24"/>
        </w:rPr>
        <w:t xml:space="preserve"> доведенных лимитов</w:t>
      </w:r>
      <w:r>
        <w:rPr>
          <w:rFonts w:ascii="Times New Roman" w:hAnsi="Times New Roman"/>
          <w:sz w:val="24"/>
          <w:szCs w:val="24"/>
        </w:rPr>
        <w:t>,</w:t>
      </w:r>
      <w:r w:rsidRPr="00E97FFE">
        <w:rPr>
          <w:rFonts w:ascii="Times New Roman" w:hAnsi="Times New Roman"/>
          <w:sz w:val="24"/>
          <w:szCs w:val="24"/>
        </w:rPr>
        <w:t xml:space="preserve"> </w:t>
      </w:r>
      <w:r w:rsidRPr="006B2747">
        <w:rPr>
          <w:rFonts w:ascii="Times New Roman" w:hAnsi="Times New Roman" w:cs="Times New Roman"/>
          <w:sz w:val="24"/>
          <w:szCs w:val="24"/>
        </w:rPr>
        <w:t>причинами низкого уровня исполнения яв</w:t>
      </w:r>
      <w:r>
        <w:rPr>
          <w:rFonts w:ascii="Times New Roman" w:hAnsi="Times New Roman" w:cs="Times New Roman"/>
          <w:sz w:val="24"/>
          <w:szCs w:val="24"/>
        </w:rPr>
        <w:t>илось</w:t>
      </w:r>
      <w:r w:rsidRPr="006B2747">
        <w:rPr>
          <w:rFonts w:ascii="Times New Roman" w:hAnsi="Times New Roman" w:cs="Times New Roman"/>
          <w:sz w:val="24"/>
          <w:szCs w:val="24"/>
        </w:rPr>
        <w:t xml:space="preserve"> нарушение подрядной организацией сроков исполнения контракта.</w:t>
      </w:r>
      <w:r>
        <w:rPr>
          <w:rFonts w:ascii="Times New Roman" w:hAnsi="Times New Roman" w:cs="Times New Roman"/>
          <w:sz w:val="24"/>
          <w:szCs w:val="24"/>
        </w:rPr>
        <w:t xml:space="preserve"> С</w:t>
      </w:r>
      <w:r w:rsidRPr="006B2747">
        <w:rPr>
          <w:rFonts w:ascii="Times New Roman" w:hAnsi="Times New Roman" w:cs="Times New Roman"/>
          <w:sz w:val="24"/>
          <w:szCs w:val="24"/>
        </w:rPr>
        <w:t>редства областного бюджета использованы на оплату первого этапа работ</w:t>
      </w:r>
      <w:r>
        <w:rPr>
          <w:rFonts w:ascii="Times New Roman" w:hAnsi="Times New Roman" w:cs="Times New Roman"/>
          <w:sz w:val="24"/>
          <w:szCs w:val="24"/>
        </w:rPr>
        <w:t xml:space="preserve"> </w:t>
      </w:r>
      <w:r>
        <w:rPr>
          <w:rFonts w:ascii="Times New Roman" w:hAnsi="Times New Roman"/>
          <w:sz w:val="24"/>
          <w:szCs w:val="24"/>
        </w:rPr>
        <w:t>ЗАО «Проектинвест» в рамках государственного контракта № 67</w:t>
      </w:r>
      <w:r w:rsidRPr="00FA139C">
        <w:rPr>
          <w:rFonts w:ascii="Times New Roman" w:hAnsi="Times New Roman"/>
          <w:sz w:val="24"/>
          <w:szCs w:val="24"/>
        </w:rPr>
        <w:t xml:space="preserve"> от </w:t>
      </w:r>
      <w:r>
        <w:rPr>
          <w:rFonts w:ascii="Times New Roman" w:hAnsi="Times New Roman"/>
          <w:sz w:val="24"/>
          <w:szCs w:val="24"/>
        </w:rPr>
        <w:t>31</w:t>
      </w:r>
      <w:r w:rsidRPr="00FA139C">
        <w:rPr>
          <w:rFonts w:ascii="Times New Roman" w:hAnsi="Times New Roman"/>
          <w:sz w:val="24"/>
          <w:szCs w:val="24"/>
        </w:rPr>
        <w:t>.0</w:t>
      </w:r>
      <w:r>
        <w:rPr>
          <w:rFonts w:ascii="Times New Roman" w:hAnsi="Times New Roman"/>
          <w:sz w:val="24"/>
          <w:szCs w:val="24"/>
        </w:rPr>
        <w:t>8</w:t>
      </w:r>
      <w:r w:rsidRPr="00FA139C">
        <w:rPr>
          <w:rFonts w:ascii="Times New Roman" w:hAnsi="Times New Roman"/>
          <w:sz w:val="24"/>
          <w:szCs w:val="24"/>
        </w:rPr>
        <w:t>.201</w:t>
      </w:r>
      <w:r>
        <w:rPr>
          <w:rFonts w:ascii="Times New Roman" w:hAnsi="Times New Roman"/>
          <w:sz w:val="24"/>
          <w:szCs w:val="24"/>
        </w:rPr>
        <w:t>7</w:t>
      </w:r>
      <w:r w:rsidRPr="00FA139C">
        <w:rPr>
          <w:rFonts w:ascii="Times New Roman" w:hAnsi="Times New Roman"/>
          <w:sz w:val="24"/>
          <w:szCs w:val="24"/>
        </w:rPr>
        <w:t xml:space="preserve"> на выполнение работ </w:t>
      </w:r>
      <w:r>
        <w:rPr>
          <w:rFonts w:ascii="Times New Roman" w:hAnsi="Times New Roman"/>
          <w:sz w:val="24"/>
          <w:szCs w:val="24"/>
        </w:rPr>
        <w:t>по разработке проектной и рабочей документации по объекту:</w:t>
      </w:r>
      <w:r w:rsidRPr="00DE63A6">
        <w:rPr>
          <w:rFonts w:ascii="Times New Roman" w:hAnsi="Times New Roman"/>
          <w:sz w:val="24"/>
          <w:szCs w:val="24"/>
        </w:rPr>
        <w:t xml:space="preserve"> </w:t>
      </w:r>
      <w:r>
        <w:rPr>
          <w:rFonts w:ascii="Times New Roman" w:hAnsi="Times New Roman"/>
          <w:sz w:val="24"/>
          <w:szCs w:val="24"/>
        </w:rPr>
        <w:t>«С</w:t>
      </w:r>
      <w:r w:rsidRPr="007D29D0">
        <w:rPr>
          <w:rFonts w:ascii="Times New Roman" w:hAnsi="Times New Roman"/>
          <w:sz w:val="24"/>
          <w:szCs w:val="24"/>
        </w:rPr>
        <w:t>троительство здания родильного дома на 150 коек ГАУЗ АО «Благовещенская городская клиническая больница»</w:t>
      </w:r>
      <w:r w:rsidRPr="00E97FFE">
        <w:rPr>
          <w:rFonts w:ascii="Times New Roman" w:hAnsi="Times New Roman"/>
          <w:sz w:val="24"/>
          <w:szCs w:val="24"/>
        </w:rPr>
        <w:t>.</w:t>
      </w:r>
    </w:p>
    <w:p w:rsidR="000B66CB" w:rsidRPr="00C474AC" w:rsidRDefault="000B66CB" w:rsidP="000B66CB">
      <w:pPr>
        <w:tabs>
          <w:tab w:val="left" w:pos="851"/>
        </w:tabs>
        <w:spacing w:after="0" w:line="240" w:lineRule="auto"/>
        <w:ind w:firstLine="709"/>
        <w:jc w:val="both"/>
        <w:rPr>
          <w:rFonts w:ascii="Times New Roman" w:hAnsi="Times New Roman"/>
          <w:sz w:val="24"/>
          <w:szCs w:val="24"/>
        </w:rPr>
      </w:pPr>
      <w:r w:rsidRPr="00A62A76">
        <w:rPr>
          <w:rFonts w:ascii="Times New Roman" w:hAnsi="Times New Roman"/>
          <w:sz w:val="24"/>
          <w:szCs w:val="24"/>
        </w:rPr>
        <w:t>Работы по второму этапу, при установле</w:t>
      </w:r>
      <w:r>
        <w:rPr>
          <w:rFonts w:ascii="Times New Roman" w:hAnsi="Times New Roman"/>
          <w:sz w:val="24"/>
          <w:szCs w:val="24"/>
        </w:rPr>
        <w:t>нных государственным контрактом</w:t>
      </w:r>
      <w:r w:rsidRPr="00A62A76">
        <w:rPr>
          <w:rFonts w:ascii="Times New Roman" w:hAnsi="Times New Roman"/>
          <w:sz w:val="24"/>
          <w:szCs w:val="24"/>
        </w:rPr>
        <w:t xml:space="preserve"> сроках - до 31.03.2018, на день настоящей проверки не выполнены. </w:t>
      </w:r>
      <w:r>
        <w:rPr>
          <w:rFonts w:ascii="Times New Roman" w:hAnsi="Times New Roman" w:cs="Times New Roman"/>
          <w:sz w:val="24"/>
          <w:szCs w:val="24"/>
        </w:rPr>
        <w:t>Причиной невыполнения работ в установленные контрактом сроки стало р</w:t>
      </w:r>
      <w:r w:rsidRPr="006B2747">
        <w:rPr>
          <w:rFonts w:ascii="Times New Roman" w:hAnsi="Times New Roman" w:cs="Times New Roman"/>
          <w:sz w:val="24"/>
          <w:szCs w:val="24"/>
        </w:rPr>
        <w:t>азмещение заказа на выполнение работ по разработке проектной и рабочей документации по объекту</w:t>
      </w:r>
      <w:r>
        <w:rPr>
          <w:rFonts w:ascii="Times New Roman" w:hAnsi="Times New Roman" w:cs="Times New Roman"/>
          <w:sz w:val="24"/>
          <w:szCs w:val="24"/>
        </w:rPr>
        <w:t xml:space="preserve"> </w:t>
      </w:r>
      <w:r w:rsidRPr="00C474AC">
        <w:rPr>
          <w:rFonts w:ascii="Times New Roman" w:hAnsi="Times New Roman"/>
          <w:sz w:val="24"/>
          <w:szCs w:val="24"/>
        </w:rPr>
        <w:t xml:space="preserve">«Строительство здания родильного дома на 150 коек ГАУЗ АО «Благовещенская городская клиническая больница» и последующее заключение государственного контракта № 67 от 31.08.2017 в отсутствие должной проработки вопроса в части выбора и предоставления для выполнения проектных работ земельного участка, соответствующего нормам и правилам (СП 42.13330.2016 «Градостроительство. Планировка и застройка городских и сельских поселений», СанПиН 2.1.3.2630-10 «Санитарно-эпидемиологические требования к организациям, осуществляющим медицинскую деятельность»), что привело к значительному нарушению сроков выполнения работ по разработке проектной и рабочей документации по объекту.  </w:t>
      </w:r>
      <w:r w:rsidRPr="00A62A76">
        <w:rPr>
          <w:rFonts w:ascii="Times New Roman" w:hAnsi="Times New Roman"/>
          <w:sz w:val="24"/>
          <w:szCs w:val="24"/>
        </w:rPr>
        <w:t xml:space="preserve">ЗАО «Проектинвест» письмом от 31.01.2018 № 02/89 сообщено о приостановке с 31.01.2018 </w:t>
      </w:r>
      <w:r w:rsidRPr="00A62A76">
        <w:rPr>
          <w:rFonts w:ascii="Times New Roman" w:hAnsi="Times New Roman"/>
          <w:sz w:val="24"/>
          <w:szCs w:val="24"/>
        </w:rPr>
        <w:lastRenderedPageBreak/>
        <w:t>работ по государственному контракту № 67 от 31.08.2017 до получения откорректированных исходных документов от заказчика.</w:t>
      </w:r>
    </w:p>
    <w:p w:rsidR="000B66CB" w:rsidRPr="00C474AC" w:rsidRDefault="000B66CB" w:rsidP="000B66CB">
      <w:pPr>
        <w:tabs>
          <w:tab w:val="left" w:pos="851"/>
        </w:tabs>
        <w:spacing w:after="0" w:line="240" w:lineRule="auto"/>
        <w:ind w:firstLine="709"/>
        <w:jc w:val="both"/>
        <w:rPr>
          <w:rFonts w:ascii="Times New Roman" w:hAnsi="Times New Roman"/>
          <w:sz w:val="24"/>
          <w:szCs w:val="24"/>
        </w:rPr>
      </w:pPr>
      <w:r w:rsidRPr="00A62A76">
        <w:rPr>
          <w:rFonts w:ascii="Times New Roman" w:hAnsi="Times New Roman"/>
          <w:sz w:val="24"/>
          <w:szCs w:val="24"/>
        </w:rPr>
        <w:t xml:space="preserve">Государственной программой «Развитие здравоохранения Амурской области на </w:t>
      </w:r>
      <w:r>
        <w:rPr>
          <w:rFonts w:ascii="Times New Roman" w:hAnsi="Times New Roman"/>
          <w:sz w:val="24"/>
          <w:szCs w:val="24"/>
        </w:rPr>
        <w:br/>
      </w:r>
      <w:r w:rsidRPr="00A62A76">
        <w:rPr>
          <w:rFonts w:ascii="Times New Roman" w:hAnsi="Times New Roman"/>
          <w:sz w:val="24"/>
          <w:szCs w:val="24"/>
        </w:rPr>
        <w:t xml:space="preserve">2014–2020 годы», утвержденной постановлением Правительства области от 03.07.2013 </w:t>
      </w:r>
      <w:r w:rsidRPr="00A62A76">
        <w:rPr>
          <w:rFonts w:ascii="Times New Roman" w:hAnsi="Times New Roman"/>
          <w:sz w:val="24"/>
          <w:szCs w:val="24"/>
        </w:rPr>
        <w:br/>
        <w:t xml:space="preserve">№ 302 (ред. от 26.04.2018), по объекту «Строительство здания родильного дома на </w:t>
      </w:r>
      <w:r w:rsidRPr="00A62A76">
        <w:rPr>
          <w:rFonts w:ascii="Times New Roman" w:hAnsi="Times New Roman"/>
          <w:sz w:val="24"/>
          <w:szCs w:val="24"/>
        </w:rPr>
        <w:br/>
        <w:t>150 коек ГАУЗ АО «Благовещенская городская клиническая больница» предусмотрены расходы на проектно-изыскательские работы и подготовку проектно-сметной документации в объеме 13994,5 тыс. рублей, из них 13000,0 тыс. рублей – на 2018 год, расходы и источники финансирования на выполнение строительно-монтажных работ по строительству объекта государственной программой не предусмотрены</w:t>
      </w:r>
      <w:r>
        <w:rPr>
          <w:rFonts w:ascii="Times New Roman" w:hAnsi="Times New Roman"/>
          <w:sz w:val="24"/>
          <w:szCs w:val="24"/>
        </w:rPr>
        <w:t xml:space="preserve">. </w:t>
      </w:r>
      <w:r w:rsidRPr="00C474AC">
        <w:rPr>
          <w:rFonts w:ascii="Times New Roman" w:hAnsi="Times New Roman"/>
          <w:sz w:val="24"/>
          <w:szCs w:val="24"/>
        </w:rPr>
        <w:t xml:space="preserve">Отсутствие предусмотренных Государственной программой «Развитие здравоохранения Амурской области на </w:t>
      </w:r>
      <w:r>
        <w:rPr>
          <w:rFonts w:ascii="Times New Roman" w:hAnsi="Times New Roman"/>
          <w:sz w:val="24"/>
          <w:szCs w:val="24"/>
        </w:rPr>
        <w:br/>
      </w:r>
      <w:r w:rsidRPr="00C474AC">
        <w:rPr>
          <w:rFonts w:ascii="Times New Roman" w:hAnsi="Times New Roman"/>
          <w:sz w:val="24"/>
          <w:szCs w:val="24"/>
        </w:rPr>
        <w:t xml:space="preserve">2014–2020 годы», утвержденной постановлением Правительства области от 03.07.2013 </w:t>
      </w:r>
      <w:r>
        <w:rPr>
          <w:rFonts w:ascii="Times New Roman" w:hAnsi="Times New Roman"/>
          <w:sz w:val="24"/>
          <w:szCs w:val="24"/>
        </w:rPr>
        <w:br/>
      </w:r>
      <w:r w:rsidRPr="00C474AC">
        <w:rPr>
          <w:rFonts w:ascii="Times New Roman" w:hAnsi="Times New Roman"/>
          <w:sz w:val="24"/>
          <w:szCs w:val="24"/>
        </w:rPr>
        <w:t xml:space="preserve">№ 302 (ред. от 26.04.2018), и Законом Амурской области от 13.12.2017 № 158-ОЗ «Об областном бюджете на 2018 год и плановый период 2019 и 2020 годов» расходов на финансирование «Строительства здания родильного дома на 150 коек ГАУЗ АО «Благовещенская городская клиническая больница» содержит значительные риски невостребованности проектной документации к строительству, росту числа объектов незавершенного строительства, </w:t>
      </w:r>
      <w:r w:rsidRPr="00C474AC">
        <w:rPr>
          <w:rFonts w:ascii="Times New Roman" w:eastAsia="Lucida Sans Unicode" w:hAnsi="Times New Roman"/>
          <w:sz w:val="24"/>
          <w:szCs w:val="24"/>
        </w:rPr>
        <w:t xml:space="preserve">недостижению заданного результата и необеспечению принципа эффективности использования бюджетных средств, предусмотренного статьей </w:t>
      </w:r>
      <w:r>
        <w:rPr>
          <w:rFonts w:ascii="Times New Roman" w:eastAsia="Lucida Sans Unicode" w:hAnsi="Times New Roman"/>
          <w:sz w:val="24"/>
          <w:szCs w:val="24"/>
        </w:rPr>
        <w:br/>
      </w:r>
      <w:r w:rsidRPr="00C474AC">
        <w:rPr>
          <w:rFonts w:ascii="Times New Roman" w:eastAsia="Lucida Sans Unicode" w:hAnsi="Times New Roman"/>
          <w:sz w:val="24"/>
          <w:szCs w:val="24"/>
        </w:rPr>
        <w:t xml:space="preserve">34 Бюджетного кодекса Российской Федерации, </w:t>
      </w:r>
      <w:r w:rsidRPr="00C474AC">
        <w:rPr>
          <w:rFonts w:ascii="Times New Roman" w:hAnsi="Times New Roman"/>
          <w:sz w:val="24"/>
          <w:szCs w:val="24"/>
        </w:rPr>
        <w:t>в отношении средств, использованных на под</w:t>
      </w:r>
      <w:r w:rsidR="008D63A5">
        <w:rPr>
          <w:rFonts w:ascii="Times New Roman" w:hAnsi="Times New Roman"/>
          <w:sz w:val="24"/>
          <w:szCs w:val="24"/>
        </w:rPr>
        <w:t>готовку проектной документации.</w:t>
      </w:r>
    </w:p>
    <w:p w:rsidR="000B66CB" w:rsidRDefault="000B66CB" w:rsidP="000B66CB">
      <w:pPr>
        <w:pStyle w:val="afa"/>
        <w:numPr>
          <w:ilvl w:val="0"/>
          <w:numId w:val="22"/>
        </w:numPr>
        <w:tabs>
          <w:tab w:val="left" w:pos="0"/>
          <w:tab w:val="left" w:pos="709"/>
          <w:tab w:val="left" w:pos="851"/>
        </w:tabs>
        <w:ind w:left="0" w:firstLine="709"/>
        <w:jc w:val="both"/>
        <w:rPr>
          <w:sz w:val="24"/>
          <w:szCs w:val="24"/>
        </w:rPr>
      </w:pPr>
      <w:r w:rsidRPr="00A869D7">
        <w:rPr>
          <w:b/>
          <w:i/>
          <w:sz w:val="24"/>
          <w:szCs w:val="24"/>
        </w:rPr>
        <w:t>«Психоневрологический интернат в с. Новый Быт Ромненского района. Спальный корпус (1 очередь). Столовая на 100 мест с теплым переходом (2 очередь)».</w:t>
      </w:r>
      <w:r w:rsidRPr="00B631C0">
        <w:rPr>
          <w:sz w:val="24"/>
          <w:szCs w:val="24"/>
        </w:rPr>
        <w:t xml:space="preserve"> Финансирование расходов по объекту осуществлялось в рамках мероприятий подпрограммы «</w:t>
      </w:r>
      <w:r w:rsidRPr="00B631C0">
        <w:rPr>
          <w:rFonts w:eastAsiaTheme="minorHAnsi"/>
          <w:sz w:val="24"/>
          <w:szCs w:val="24"/>
        </w:rPr>
        <w:t>Совершенствование организации деятельности учреждений социальной защиты и социального обслуживания населения Амурской области</w:t>
      </w:r>
      <w:r w:rsidRPr="00B631C0">
        <w:rPr>
          <w:sz w:val="24"/>
          <w:szCs w:val="24"/>
        </w:rPr>
        <w:t>» государственной программы «Развитие системы социальной защиты населения Амурской области на 2014-2020 годы», утвержденной постановлением Правительства Амурской области от 25.09.2013 № 444.</w:t>
      </w:r>
    </w:p>
    <w:p w:rsidR="000B66CB" w:rsidRPr="00B631C0" w:rsidRDefault="000B66CB" w:rsidP="000B66CB">
      <w:pPr>
        <w:tabs>
          <w:tab w:val="left" w:pos="0"/>
          <w:tab w:val="left" w:pos="709"/>
          <w:tab w:val="left" w:pos="851"/>
        </w:tabs>
        <w:spacing w:after="0" w:line="240" w:lineRule="auto"/>
        <w:ind w:firstLine="709"/>
        <w:jc w:val="both"/>
        <w:rPr>
          <w:rFonts w:ascii="Times New Roman" w:hAnsi="Times New Roman" w:cs="Times New Roman"/>
          <w:sz w:val="24"/>
          <w:szCs w:val="24"/>
        </w:rPr>
      </w:pPr>
      <w:r w:rsidRPr="00B631C0">
        <w:rPr>
          <w:rFonts w:ascii="Times New Roman" w:hAnsi="Times New Roman" w:cs="Times New Roman"/>
          <w:sz w:val="24"/>
          <w:szCs w:val="24"/>
        </w:rPr>
        <w:t>Объект «Психоневрологический интернат в с. Новый Быт Ромненского района. Спальный корпус» числится по учету ГКУ Амурской области «Строитель» в качестве объекта незавершенного строительства с 2011 года.</w:t>
      </w:r>
      <w:r>
        <w:rPr>
          <w:rFonts w:ascii="Times New Roman" w:hAnsi="Times New Roman" w:cs="Times New Roman"/>
          <w:sz w:val="24"/>
          <w:szCs w:val="24"/>
        </w:rPr>
        <w:t xml:space="preserve"> </w:t>
      </w:r>
      <w:r w:rsidRPr="00B631C0">
        <w:rPr>
          <w:rFonts w:ascii="Times New Roman" w:hAnsi="Times New Roman" w:cs="Times New Roman"/>
          <w:color w:val="000000" w:themeColor="text1"/>
          <w:sz w:val="24"/>
          <w:szCs w:val="24"/>
        </w:rPr>
        <w:t xml:space="preserve">По состоянию на 01.01.2014 исполнение по государственному контракту </w:t>
      </w:r>
      <w:r w:rsidRPr="00B631C0">
        <w:rPr>
          <w:rFonts w:ascii="Times New Roman" w:hAnsi="Times New Roman" w:cs="Times New Roman"/>
          <w:sz w:val="24"/>
          <w:szCs w:val="24"/>
        </w:rPr>
        <w:t>от 13.09.2012 № 0123200000312002120 с ООО «Строй Город» на выполнение работ по достройке незавершенного строительством объекта «Психоневрологический интернат в с. Новый Быт Ромненского района. Спальный корпус»</w:t>
      </w:r>
      <w:r>
        <w:rPr>
          <w:rFonts w:ascii="Times New Roman" w:hAnsi="Times New Roman" w:cs="Times New Roman"/>
          <w:sz w:val="24"/>
          <w:szCs w:val="24"/>
        </w:rPr>
        <w:t xml:space="preserve"> </w:t>
      </w:r>
      <w:r w:rsidRPr="00B631C0">
        <w:rPr>
          <w:rFonts w:ascii="Times New Roman" w:hAnsi="Times New Roman" w:cs="Times New Roman"/>
          <w:color w:val="000000" w:themeColor="text1"/>
          <w:sz w:val="24"/>
          <w:szCs w:val="24"/>
        </w:rPr>
        <w:t>составило 9055,2 тыс. рублей, или 46,7 процента стоимости работ</w:t>
      </w:r>
      <w:r w:rsidRPr="00B631C0">
        <w:rPr>
          <w:rFonts w:ascii="Times New Roman" w:hAnsi="Times New Roman" w:cs="Times New Roman"/>
          <w:sz w:val="24"/>
          <w:szCs w:val="24"/>
        </w:rPr>
        <w:t>. С 2014 года строительство объекта не финансировалось, работы по достройке объекта не велись. Объем затрат по объекту «Психоневрологический интернат в с. Новый Быт Ромненского района. Спальный корпус» по состоянию на 01.01.2017 составил 10734,0 тыс. рублей (проектно-изыскательские работы – 1370,3 тыс. рублей; прочие работы и услуги – 308,5 тыс. рублей; строительно-монтажны</w:t>
      </w:r>
      <w:r w:rsidR="008D63A5">
        <w:rPr>
          <w:rFonts w:ascii="Times New Roman" w:hAnsi="Times New Roman" w:cs="Times New Roman"/>
          <w:sz w:val="24"/>
          <w:szCs w:val="24"/>
        </w:rPr>
        <w:t>е работы – 9055,2 тыс. рублей).</w:t>
      </w:r>
    </w:p>
    <w:p w:rsidR="000B66CB" w:rsidRPr="008D63A5" w:rsidRDefault="000B66CB" w:rsidP="000B66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6D3F8C">
        <w:rPr>
          <w:rFonts w:ascii="Times New Roman" w:hAnsi="Times New Roman"/>
          <w:sz w:val="24"/>
          <w:szCs w:val="24"/>
        </w:rPr>
        <w:t xml:space="preserve"> 201</w:t>
      </w:r>
      <w:r>
        <w:rPr>
          <w:rFonts w:ascii="Times New Roman" w:hAnsi="Times New Roman"/>
          <w:sz w:val="24"/>
          <w:szCs w:val="24"/>
        </w:rPr>
        <w:t>7</w:t>
      </w:r>
      <w:r w:rsidRPr="006D3F8C">
        <w:rPr>
          <w:rFonts w:ascii="Times New Roman" w:hAnsi="Times New Roman"/>
          <w:sz w:val="24"/>
          <w:szCs w:val="24"/>
        </w:rPr>
        <w:t xml:space="preserve"> год</w:t>
      </w:r>
      <w:r>
        <w:rPr>
          <w:rFonts w:ascii="Times New Roman" w:hAnsi="Times New Roman"/>
          <w:sz w:val="24"/>
          <w:szCs w:val="24"/>
        </w:rPr>
        <w:t>у по объекту «</w:t>
      </w:r>
      <w:r w:rsidRPr="00B631C0">
        <w:rPr>
          <w:rFonts w:ascii="Times New Roman" w:hAnsi="Times New Roman"/>
          <w:sz w:val="24"/>
          <w:szCs w:val="24"/>
        </w:rPr>
        <w:t>Психоневрологический интернат в с. Новый Быт Ромненского района. Спальный корпус (1 очередь). Столовая на 100 мест с теплым переходом (2 очередь)</w:t>
      </w:r>
      <w:r>
        <w:rPr>
          <w:rFonts w:ascii="Times New Roman" w:hAnsi="Times New Roman"/>
          <w:sz w:val="24"/>
          <w:szCs w:val="24"/>
        </w:rPr>
        <w:t>»: доведены л</w:t>
      </w:r>
      <w:r w:rsidRPr="00FA139C">
        <w:rPr>
          <w:rFonts w:ascii="Times New Roman" w:hAnsi="Times New Roman"/>
          <w:sz w:val="24"/>
          <w:szCs w:val="24"/>
        </w:rPr>
        <w:t>имиты бюджетных обязательств</w:t>
      </w:r>
      <w:r>
        <w:rPr>
          <w:rFonts w:ascii="Times New Roman" w:hAnsi="Times New Roman"/>
          <w:sz w:val="24"/>
          <w:szCs w:val="24"/>
        </w:rPr>
        <w:t xml:space="preserve"> - 300,0 </w:t>
      </w:r>
      <w:r w:rsidRPr="006D3F8C">
        <w:rPr>
          <w:rFonts w:ascii="Times New Roman" w:hAnsi="Times New Roman"/>
          <w:sz w:val="24"/>
          <w:szCs w:val="24"/>
        </w:rPr>
        <w:t>тыс. рублей</w:t>
      </w:r>
      <w:r>
        <w:rPr>
          <w:rFonts w:ascii="Times New Roman" w:hAnsi="Times New Roman"/>
          <w:sz w:val="24"/>
          <w:szCs w:val="24"/>
        </w:rPr>
        <w:t xml:space="preserve">, приняты бюджетные обязательства на сумму 219,0 тыс. рублей, произведены кассовые расходы в объеме 205,0 тыс. рублей, или 68,3 процента доведенных лимитов. </w:t>
      </w:r>
      <w:r>
        <w:rPr>
          <w:rFonts w:ascii="Times New Roman" w:hAnsi="Times New Roman" w:cs="Times New Roman"/>
          <w:sz w:val="24"/>
          <w:szCs w:val="24"/>
        </w:rPr>
        <w:t>С</w:t>
      </w:r>
      <w:r w:rsidRPr="006B2747">
        <w:rPr>
          <w:rFonts w:ascii="Times New Roman" w:hAnsi="Times New Roman" w:cs="Times New Roman"/>
          <w:sz w:val="24"/>
          <w:szCs w:val="24"/>
        </w:rPr>
        <w:t>редства областного бюджета использованы на оплату</w:t>
      </w:r>
      <w:r>
        <w:rPr>
          <w:rFonts w:ascii="Times New Roman" w:hAnsi="Times New Roman" w:cs="Times New Roman"/>
          <w:sz w:val="24"/>
          <w:szCs w:val="24"/>
        </w:rPr>
        <w:t xml:space="preserve"> </w:t>
      </w:r>
      <w:r>
        <w:rPr>
          <w:rFonts w:ascii="Times New Roman" w:hAnsi="Times New Roman"/>
          <w:sz w:val="24"/>
          <w:szCs w:val="24"/>
        </w:rPr>
        <w:t xml:space="preserve">ООО «ПромСтройПроект» выполненных работ по техническому обследованию здания спального корпуса объекта и корректировке рабочей документации по объекту. </w:t>
      </w:r>
      <w:r w:rsidRPr="00F254E8">
        <w:rPr>
          <w:rFonts w:ascii="Times New Roman" w:hAnsi="Times New Roman"/>
          <w:sz w:val="24"/>
          <w:szCs w:val="24"/>
        </w:rPr>
        <w:t>ООО «ПромСтройПроект» по результатам проведенного инженерного обследования здания спального корпуса объекта «Психоневрологический интернат в с. Новый Быт Ромненского района</w:t>
      </w:r>
      <w:r>
        <w:rPr>
          <w:rFonts w:ascii="Times New Roman" w:hAnsi="Times New Roman"/>
          <w:sz w:val="24"/>
          <w:szCs w:val="24"/>
        </w:rPr>
        <w:t xml:space="preserve">. Спальный корпус (1 очередь)» представлено техническое заключение, согласно которому здание находится в ограничено работоспособном состоянии; для полноценной эксплуатации здания спального корпуса </w:t>
      </w:r>
      <w:r>
        <w:rPr>
          <w:rFonts w:ascii="Times New Roman" w:hAnsi="Times New Roman"/>
          <w:sz w:val="24"/>
          <w:szCs w:val="24"/>
        </w:rPr>
        <w:lastRenderedPageBreak/>
        <w:t>психоневрологического</w:t>
      </w:r>
      <w:r w:rsidRPr="009E64E3">
        <w:rPr>
          <w:rFonts w:ascii="Times New Roman" w:hAnsi="Times New Roman"/>
          <w:sz w:val="24"/>
          <w:szCs w:val="24"/>
        </w:rPr>
        <w:t xml:space="preserve"> интернат</w:t>
      </w:r>
      <w:r>
        <w:rPr>
          <w:rFonts w:ascii="Times New Roman" w:hAnsi="Times New Roman"/>
          <w:sz w:val="24"/>
          <w:szCs w:val="24"/>
        </w:rPr>
        <w:t>а необходимо выполнить мероприятия по завершению строительства с разработкой проектной документации на данные работы.</w:t>
      </w:r>
    </w:p>
    <w:p w:rsidR="000B66CB" w:rsidRDefault="000B66CB" w:rsidP="000B66C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ГАУ «Амургосэкспертиза» предоставлено положительное заключение </w:t>
      </w:r>
      <w:r>
        <w:rPr>
          <w:rFonts w:ascii="Times New Roman" w:hAnsi="Times New Roman"/>
          <w:sz w:val="24"/>
          <w:szCs w:val="24"/>
        </w:rPr>
        <w:br/>
        <w:t>о проверке достоверности определения сметной стоимости строительства объекта «</w:t>
      </w:r>
      <w:r w:rsidRPr="009E64E3">
        <w:rPr>
          <w:rFonts w:ascii="Times New Roman" w:hAnsi="Times New Roman"/>
          <w:sz w:val="24"/>
          <w:szCs w:val="24"/>
        </w:rPr>
        <w:t>Психоневрологический интернат в с. Новый Быт Ромненского района</w:t>
      </w:r>
      <w:r>
        <w:rPr>
          <w:rFonts w:ascii="Times New Roman" w:hAnsi="Times New Roman"/>
          <w:sz w:val="24"/>
          <w:szCs w:val="24"/>
        </w:rPr>
        <w:t xml:space="preserve">. Спальный корпус </w:t>
      </w:r>
      <w:r>
        <w:rPr>
          <w:rFonts w:ascii="Times New Roman" w:hAnsi="Times New Roman"/>
          <w:sz w:val="24"/>
          <w:szCs w:val="24"/>
        </w:rPr>
        <w:br/>
        <w:t xml:space="preserve">(1 очередь)» Корректировка». Согласно представленному заключению, по результатам внесенных в сметную документацию изменений, затраты по сводному сметному расчету на исключение работ составляют 1324,6 тыс. рублей (в текущем уровне цен по состоянию на </w:t>
      </w:r>
      <w:r>
        <w:rPr>
          <w:rFonts w:ascii="Times New Roman" w:hAnsi="Times New Roman"/>
          <w:sz w:val="24"/>
          <w:szCs w:val="24"/>
        </w:rPr>
        <w:br/>
      </w:r>
      <w:r>
        <w:rPr>
          <w:rFonts w:ascii="Times New Roman" w:hAnsi="Times New Roman"/>
          <w:sz w:val="24"/>
          <w:szCs w:val="24"/>
          <w:lang w:val="en-US"/>
        </w:rPr>
        <w:t>III</w:t>
      </w:r>
      <w:r>
        <w:rPr>
          <w:rFonts w:ascii="Times New Roman" w:hAnsi="Times New Roman"/>
          <w:sz w:val="24"/>
          <w:szCs w:val="24"/>
        </w:rPr>
        <w:t xml:space="preserve"> квартал 2011 года), затраты по сводному сметному расчету на дополнительные работы составляют 3136,5 тыс. рублей (в текущем уровне цен по состоянию на </w:t>
      </w:r>
      <w:r>
        <w:rPr>
          <w:rFonts w:ascii="Times New Roman" w:hAnsi="Times New Roman"/>
          <w:sz w:val="24"/>
          <w:szCs w:val="24"/>
          <w:lang w:val="en-US"/>
        </w:rPr>
        <w:t>III</w:t>
      </w:r>
      <w:r w:rsidR="008D63A5">
        <w:rPr>
          <w:rFonts w:ascii="Times New Roman" w:hAnsi="Times New Roman"/>
          <w:sz w:val="24"/>
          <w:szCs w:val="24"/>
        </w:rPr>
        <w:t xml:space="preserve"> квартал </w:t>
      </w:r>
      <w:r w:rsidR="008D63A5">
        <w:rPr>
          <w:rFonts w:ascii="Times New Roman" w:hAnsi="Times New Roman"/>
          <w:sz w:val="24"/>
          <w:szCs w:val="24"/>
        </w:rPr>
        <w:br/>
        <w:t>2017 года).</w:t>
      </w:r>
    </w:p>
    <w:p w:rsidR="000B66CB" w:rsidRDefault="000B66CB" w:rsidP="000B66C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Остаток объема строительно-монтажных работ, не выполненных подрядчиком - </w:t>
      </w:r>
      <w:r>
        <w:rPr>
          <w:rFonts w:ascii="Times New Roman" w:hAnsi="Times New Roman"/>
          <w:sz w:val="24"/>
          <w:szCs w:val="24"/>
        </w:rPr>
        <w:br/>
      </w:r>
      <w:r w:rsidRPr="00B37133">
        <w:rPr>
          <w:rFonts w:ascii="Times New Roman" w:hAnsi="Times New Roman"/>
          <w:sz w:val="24"/>
          <w:szCs w:val="24"/>
        </w:rPr>
        <w:t xml:space="preserve">ООО «Строй Город» </w:t>
      </w:r>
      <w:r>
        <w:rPr>
          <w:rFonts w:ascii="Times New Roman" w:hAnsi="Times New Roman"/>
          <w:sz w:val="24"/>
          <w:szCs w:val="24"/>
        </w:rPr>
        <w:t>в рамках</w:t>
      </w:r>
      <w:r w:rsidRPr="00B37133">
        <w:rPr>
          <w:rFonts w:ascii="Times New Roman" w:hAnsi="Times New Roman"/>
          <w:sz w:val="24"/>
          <w:szCs w:val="24"/>
        </w:rPr>
        <w:t xml:space="preserve"> государственн</w:t>
      </w:r>
      <w:r>
        <w:rPr>
          <w:rFonts w:ascii="Times New Roman" w:hAnsi="Times New Roman"/>
          <w:sz w:val="24"/>
          <w:szCs w:val="24"/>
        </w:rPr>
        <w:t>ого</w:t>
      </w:r>
      <w:r w:rsidRPr="00B37133">
        <w:rPr>
          <w:rFonts w:ascii="Times New Roman" w:hAnsi="Times New Roman"/>
          <w:sz w:val="24"/>
          <w:szCs w:val="24"/>
        </w:rPr>
        <w:t xml:space="preserve"> контракт</w:t>
      </w:r>
      <w:r>
        <w:rPr>
          <w:rFonts w:ascii="Times New Roman" w:hAnsi="Times New Roman"/>
          <w:sz w:val="24"/>
          <w:szCs w:val="24"/>
        </w:rPr>
        <w:t>а</w:t>
      </w:r>
      <w:r w:rsidRPr="00B37133">
        <w:rPr>
          <w:rFonts w:ascii="Times New Roman" w:hAnsi="Times New Roman"/>
          <w:sz w:val="24"/>
          <w:szCs w:val="24"/>
        </w:rPr>
        <w:t xml:space="preserve"> от 13.09.2012</w:t>
      </w:r>
      <w:r>
        <w:rPr>
          <w:rFonts w:ascii="Times New Roman" w:hAnsi="Times New Roman"/>
          <w:sz w:val="24"/>
          <w:szCs w:val="24"/>
        </w:rPr>
        <w:t xml:space="preserve"> по</w:t>
      </w:r>
      <w:r w:rsidRPr="00B37133">
        <w:rPr>
          <w:rFonts w:ascii="Times New Roman" w:hAnsi="Times New Roman"/>
          <w:sz w:val="24"/>
          <w:szCs w:val="24"/>
        </w:rPr>
        <w:t xml:space="preserve"> объект</w:t>
      </w:r>
      <w:r>
        <w:rPr>
          <w:rFonts w:ascii="Times New Roman" w:hAnsi="Times New Roman"/>
          <w:sz w:val="24"/>
          <w:szCs w:val="24"/>
        </w:rPr>
        <w:t>у</w:t>
      </w:r>
      <w:r w:rsidRPr="00B37133">
        <w:rPr>
          <w:rFonts w:ascii="Times New Roman" w:hAnsi="Times New Roman"/>
          <w:sz w:val="24"/>
          <w:szCs w:val="24"/>
        </w:rPr>
        <w:t xml:space="preserve"> «Психоневрологический интернат в с. Новый Быт Ромненского района. Спальный корпус»</w:t>
      </w:r>
      <w:r>
        <w:rPr>
          <w:rFonts w:ascii="Times New Roman" w:hAnsi="Times New Roman"/>
          <w:sz w:val="24"/>
          <w:szCs w:val="24"/>
        </w:rPr>
        <w:t>, составляет 10344,8 тыс. рублей</w:t>
      </w:r>
      <w:r w:rsidRPr="006F796C">
        <w:rPr>
          <w:rFonts w:ascii="Times New Roman" w:hAnsi="Times New Roman"/>
          <w:sz w:val="24"/>
          <w:szCs w:val="24"/>
        </w:rPr>
        <w:t>.</w:t>
      </w:r>
    </w:p>
    <w:p w:rsidR="000B66CB" w:rsidRPr="006F796C" w:rsidRDefault="000B66CB" w:rsidP="000B66C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Проектирование 2 очереди объекта –</w:t>
      </w:r>
      <w:r w:rsidRPr="006F796C">
        <w:rPr>
          <w:rFonts w:ascii="Times New Roman" w:hAnsi="Times New Roman"/>
          <w:sz w:val="24"/>
          <w:szCs w:val="24"/>
        </w:rPr>
        <w:t xml:space="preserve"> </w:t>
      </w:r>
      <w:r>
        <w:rPr>
          <w:rFonts w:ascii="Times New Roman" w:hAnsi="Times New Roman"/>
          <w:sz w:val="24"/>
          <w:szCs w:val="24"/>
        </w:rPr>
        <w:t>«</w:t>
      </w:r>
      <w:r w:rsidRPr="009E64E3">
        <w:rPr>
          <w:rFonts w:ascii="Times New Roman" w:hAnsi="Times New Roman"/>
          <w:sz w:val="24"/>
          <w:szCs w:val="24"/>
        </w:rPr>
        <w:t>Психоневрологический интернат в с. Новый Быт Ромненского района</w:t>
      </w:r>
      <w:r>
        <w:rPr>
          <w:rFonts w:ascii="Times New Roman" w:hAnsi="Times New Roman"/>
          <w:sz w:val="24"/>
          <w:szCs w:val="24"/>
        </w:rPr>
        <w:t xml:space="preserve">. </w:t>
      </w:r>
      <w:r w:rsidRPr="009E64E3">
        <w:rPr>
          <w:rFonts w:ascii="Times New Roman" w:hAnsi="Times New Roman"/>
          <w:sz w:val="24"/>
          <w:szCs w:val="24"/>
        </w:rPr>
        <w:t>Столовая на 100 мест с теплым переходом</w:t>
      </w:r>
      <w:r>
        <w:rPr>
          <w:rFonts w:ascii="Times New Roman" w:hAnsi="Times New Roman"/>
          <w:sz w:val="24"/>
          <w:szCs w:val="24"/>
        </w:rPr>
        <w:t>» - не осуществлялось.</w:t>
      </w:r>
    </w:p>
    <w:p w:rsidR="000B66CB" w:rsidRDefault="000B66CB" w:rsidP="000B66CB">
      <w:pPr>
        <w:tabs>
          <w:tab w:val="left" w:pos="851"/>
        </w:tabs>
        <w:spacing w:after="0" w:line="240" w:lineRule="auto"/>
        <w:ind w:firstLine="709"/>
        <w:jc w:val="both"/>
        <w:rPr>
          <w:rFonts w:ascii="Times New Roman" w:hAnsi="Times New Roman"/>
          <w:sz w:val="24"/>
          <w:szCs w:val="24"/>
        </w:rPr>
      </w:pPr>
      <w:r w:rsidRPr="00A62A76">
        <w:rPr>
          <w:rFonts w:ascii="Times New Roman" w:hAnsi="Times New Roman"/>
          <w:sz w:val="24"/>
          <w:szCs w:val="24"/>
        </w:rPr>
        <w:t xml:space="preserve">Государственной программой </w:t>
      </w:r>
      <w:r w:rsidRPr="009E64E3">
        <w:rPr>
          <w:rFonts w:ascii="Times New Roman" w:hAnsi="Times New Roman"/>
          <w:sz w:val="24"/>
          <w:szCs w:val="24"/>
        </w:rPr>
        <w:t xml:space="preserve">«Развитие системы социальной защиты населения Амурской области на 2014-2020 годы», утвержденной постановлением Правительства Амурской области от 25.09.2013 № 444 </w:t>
      </w:r>
      <w:r w:rsidRPr="006E3B52">
        <w:rPr>
          <w:rFonts w:ascii="Times New Roman" w:hAnsi="Times New Roman"/>
          <w:sz w:val="24"/>
          <w:szCs w:val="24"/>
        </w:rPr>
        <w:t xml:space="preserve">(в редакции от 16.02.2018), </w:t>
      </w:r>
      <w:r>
        <w:rPr>
          <w:rFonts w:ascii="Times New Roman" w:hAnsi="Times New Roman"/>
          <w:sz w:val="24"/>
          <w:szCs w:val="24"/>
        </w:rPr>
        <w:t>по объекту «</w:t>
      </w:r>
      <w:r w:rsidRPr="009E64E3">
        <w:rPr>
          <w:rFonts w:ascii="Times New Roman" w:hAnsi="Times New Roman"/>
          <w:sz w:val="24"/>
          <w:szCs w:val="24"/>
        </w:rPr>
        <w:t xml:space="preserve">Психоневрологический интернат в с. Новый Быт Ромненского района. Спальный корпус </w:t>
      </w:r>
      <w:r>
        <w:rPr>
          <w:rFonts w:ascii="Times New Roman" w:hAnsi="Times New Roman"/>
          <w:sz w:val="24"/>
          <w:szCs w:val="24"/>
        </w:rPr>
        <w:br/>
      </w:r>
      <w:r w:rsidRPr="009E64E3">
        <w:rPr>
          <w:rFonts w:ascii="Times New Roman" w:hAnsi="Times New Roman"/>
          <w:sz w:val="24"/>
          <w:szCs w:val="24"/>
        </w:rPr>
        <w:t>(1 очередь). Столовая на 100 мест с теплым переходом (2 очередь)</w:t>
      </w:r>
      <w:r>
        <w:rPr>
          <w:rFonts w:ascii="Times New Roman" w:hAnsi="Times New Roman"/>
          <w:sz w:val="24"/>
          <w:szCs w:val="24"/>
        </w:rPr>
        <w:t xml:space="preserve">», расходы на </w:t>
      </w:r>
      <w:r>
        <w:rPr>
          <w:rFonts w:ascii="Times New Roman" w:hAnsi="Times New Roman"/>
          <w:sz w:val="24"/>
          <w:szCs w:val="24"/>
        </w:rPr>
        <w:br/>
        <w:t xml:space="preserve">завершение строительства на 2018-2020 годы не предусмотрены, </w:t>
      </w:r>
      <w:r w:rsidRPr="00A62A76">
        <w:rPr>
          <w:rFonts w:ascii="Times New Roman" w:hAnsi="Times New Roman"/>
          <w:sz w:val="24"/>
          <w:szCs w:val="24"/>
        </w:rPr>
        <w:t xml:space="preserve">при этом в </w:t>
      </w:r>
      <w:r>
        <w:rPr>
          <w:rFonts w:ascii="Times New Roman" w:hAnsi="Times New Roman"/>
          <w:sz w:val="24"/>
          <w:szCs w:val="24"/>
        </w:rPr>
        <w:br/>
      </w:r>
      <w:r w:rsidRPr="00A62A76">
        <w:rPr>
          <w:rFonts w:ascii="Times New Roman" w:hAnsi="Times New Roman"/>
          <w:sz w:val="24"/>
          <w:szCs w:val="24"/>
        </w:rPr>
        <w:t xml:space="preserve">Приложении № </w:t>
      </w:r>
      <w:r>
        <w:rPr>
          <w:rFonts w:ascii="Times New Roman" w:hAnsi="Times New Roman"/>
          <w:sz w:val="24"/>
          <w:szCs w:val="24"/>
        </w:rPr>
        <w:t>5</w:t>
      </w:r>
      <w:r w:rsidRPr="00A62A76">
        <w:rPr>
          <w:rFonts w:ascii="Times New Roman" w:hAnsi="Times New Roman"/>
          <w:sz w:val="24"/>
          <w:szCs w:val="24"/>
        </w:rPr>
        <w:t xml:space="preserve"> «Перечень объектов капитального строительства…» государственной программы «Развитие </w:t>
      </w:r>
      <w:r w:rsidRPr="009E64E3">
        <w:rPr>
          <w:rFonts w:ascii="Times New Roman" w:hAnsi="Times New Roman"/>
          <w:sz w:val="24"/>
          <w:szCs w:val="24"/>
        </w:rPr>
        <w:t xml:space="preserve">системы социальной защиты населения Амурской области на </w:t>
      </w:r>
      <w:r>
        <w:rPr>
          <w:rFonts w:ascii="Times New Roman" w:hAnsi="Times New Roman"/>
          <w:sz w:val="24"/>
          <w:szCs w:val="24"/>
        </w:rPr>
        <w:br/>
      </w:r>
      <w:r w:rsidRPr="009E64E3">
        <w:rPr>
          <w:rFonts w:ascii="Times New Roman" w:hAnsi="Times New Roman"/>
          <w:sz w:val="24"/>
          <w:szCs w:val="24"/>
        </w:rPr>
        <w:t>2014-2020 годы</w:t>
      </w:r>
      <w:r w:rsidRPr="00A62A76">
        <w:rPr>
          <w:rFonts w:ascii="Times New Roman" w:hAnsi="Times New Roman"/>
          <w:sz w:val="24"/>
          <w:szCs w:val="24"/>
        </w:rPr>
        <w:t xml:space="preserve">» срок планируемого </w:t>
      </w:r>
      <w:r w:rsidRPr="006E3B52">
        <w:rPr>
          <w:rFonts w:ascii="Times New Roman" w:hAnsi="Times New Roman"/>
          <w:sz w:val="24"/>
          <w:szCs w:val="24"/>
        </w:rPr>
        <w:t>ввода объекта в эксплуатацию - 2020 год</w:t>
      </w:r>
      <w:r>
        <w:rPr>
          <w:rFonts w:ascii="Times New Roman" w:hAnsi="Times New Roman"/>
          <w:sz w:val="24"/>
          <w:szCs w:val="24"/>
        </w:rPr>
        <w:t xml:space="preserve">, что в условиях отсутствия источника финансирования расходов представляется нереалистичным.  </w:t>
      </w:r>
    </w:p>
    <w:p w:rsidR="000B66CB" w:rsidRPr="00785D60" w:rsidRDefault="000B66CB" w:rsidP="000B66CB">
      <w:pPr>
        <w:tabs>
          <w:tab w:val="left" w:pos="851"/>
        </w:tabs>
        <w:spacing w:after="0" w:line="240" w:lineRule="auto"/>
        <w:ind w:firstLine="709"/>
        <w:jc w:val="both"/>
        <w:rPr>
          <w:rFonts w:ascii="Times New Roman" w:hAnsi="Times New Roman"/>
          <w:sz w:val="24"/>
          <w:szCs w:val="24"/>
        </w:rPr>
      </w:pPr>
      <w:r w:rsidRPr="00785D60">
        <w:rPr>
          <w:rFonts w:ascii="Times New Roman" w:hAnsi="Times New Roman"/>
          <w:sz w:val="24"/>
          <w:szCs w:val="24"/>
        </w:rPr>
        <w:t xml:space="preserve">Отсутствие предусмотренных Государственной программой «Развитие системы социальной защиты населения Амурской области на 2014-2020 годы», утвержденной постановлением Правительства области от 25.09.2013 № 444 (в редакции от 16.02.2018), и Законом Амурской области от 13.12.2017 № 158-ОЗ «Об областном бюджете на 2018 год и плановый период 2019 и 2020 годов» расходов на финансирование объекта «Психоневрологический интернат в с. Новый Быт Ромненского района. </w:t>
      </w:r>
      <w:r w:rsidRPr="00785D60">
        <w:rPr>
          <w:rFonts w:ascii="Times New Roman" w:hAnsi="Times New Roman"/>
          <w:sz w:val="24"/>
          <w:szCs w:val="24"/>
        </w:rPr>
        <w:br/>
        <w:t xml:space="preserve">Спальный корпус (1 очередь). Столовая на 100 мест с теплым переходом (2 очередь)» содержит значительные риски незавершения строительством объекта, </w:t>
      </w:r>
      <w:r w:rsidRPr="00785D60">
        <w:rPr>
          <w:rFonts w:ascii="Times New Roman" w:eastAsia="Lucida Sans Unicode" w:hAnsi="Times New Roman"/>
          <w:sz w:val="24"/>
          <w:szCs w:val="24"/>
        </w:rPr>
        <w:t xml:space="preserve">недостижения заданного результата и необеспечения принципа эффективности использования бюджетных средств, предусмотренного статьей 34 Бюджетного кодекса Российской Федерации, </w:t>
      </w:r>
      <w:r w:rsidRPr="00785D60">
        <w:rPr>
          <w:rFonts w:ascii="Times New Roman" w:hAnsi="Times New Roman"/>
          <w:sz w:val="24"/>
          <w:szCs w:val="24"/>
        </w:rPr>
        <w:t xml:space="preserve">в отношении средств, использованных на проектные, строительно-монтажные и прочие работы и затраты, объем которых по объекту по состоянию на 01.01.2018 составил </w:t>
      </w:r>
      <w:r>
        <w:rPr>
          <w:rFonts w:ascii="Times New Roman" w:hAnsi="Times New Roman"/>
          <w:sz w:val="24"/>
          <w:szCs w:val="24"/>
        </w:rPr>
        <w:br/>
      </w:r>
      <w:r w:rsidR="008D63A5">
        <w:rPr>
          <w:rFonts w:ascii="Times New Roman" w:hAnsi="Times New Roman"/>
          <w:sz w:val="24"/>
          <w:szCs w:val="24"/>
        </w:rPr>
        <w:t>10933,0 тыс. рублей.</w:t>
      </w:r>
    </w:p>
    <w:p w:rsidR="000B66CB" w:rsidRPr="006D7611" w:rsidRDefault="000B66CB" w:rsidP="000B66CB">
      <w:pPr>
        <w:tabs>
          <w:tab w:val="left" w:pos="709"/>
        </w:tabs>
        <w:spacing w:after="0" w:line="240" w:lineRule="auto"/>
        <w:ind w:left="142"/>
        <w:contextualSpacing/>
        <w:jc w:val="both"/>
        <w:rPr>
          <w:rFonts w:ascii="Times New Roman" w:eastAsia="Times New Roman" w:hAnsi="Times New Roman"/>
          <w:sz w:val="24"/>
          <w:szCs w:val="24"/>
          <w:lang w:eastAsia="ru-RU"/>
        </w:rPr>
      </w:pPr>
    </w:p>
    <w:p w:rsidR="000B66CB" w:rsidRPr="000B66CB" w:rsidRDefault="000B66CB" w:rsidP="000B66CB">
      <w:pPr>
        <w:numPr>
          <w:ilvl w:val="0"/>
          <w:numId w:val="21"/>
        </w:numPr>
        <w:spacing w:after="0" w:line="240" w:lineRule="auto"/>
        <w:ind w:left="0" w:firstLine="709"/>
        <w:contextualSpacing/>
        <w:jc w:val="both"/>
        <w:rPr>
          <w:rFonts w:ascii="Times New Roman" w:hAnsi="Times New Roman" w:cs="Times New Roman"/>
          <w:sz w:val="24"/>
          <w:szCs w:val="24"/>
        </w:rPr>
      </w:pPr>
      <w:r w:rsidRPr="000B66CB">
        <w:rPr>
          <w:rFonts w:ascii="Times New Roman" w:eastAsia="Calibri" w:hAnsi="Times New Roman" w:cs="Times New Roman"/>
          <w:b/>
          <w:i/>
          <w:sz w:val="24"/>
          <w:szCs w:val="24"/>
        </w:rPr>
        <w:t>Министерство ку</w:t>
      </w:r>
      <w:r w:rsidR="008D63A5">
        <w:rPr>
          <w:rFonts w:ascii="Times New Roman" w:eastAsia="Calibri" w:hAnsi="Times New Roman" w:cs="Times New Roman"/>
          <w:b/>
          <w:i/>
          <w:sz w:val="24"/>
          <w:szCs w:val="24"/>
        </w:rPr>
        <w:t>льтуры и архивного дела области</w:t>
      </w:r>
    </w:p>
    <w:p w:rsidR="000B66CB" w:rsidRPr="00AB6500" w:rsidRDefault="000B66CB" w:rsidP="000B66CB">
      <w:pPr>
        <w:spacing w:after="0" w:line="240" w:lineRule="auto"/>
        <w:ind w:firstLine="708"/>
        <w:contextualSpacing/>
        <w:jc w:val="both"/>
        <w:rPr>
          <w:rFonts w:ascii="Times New Roman" w:hAnsi="Times New Roman" w:cs="Times New Roman"/>
          <w:sz w:val="24"/>
          <w:szCs w:val="24"/>
        </w:rPr>
      </w:pPr>
      <w:r w:rsidRPr="000B66CB">
        <w:rPr>
          <w:rFonts w:ascii="Times New Roman" w:hAnsi="Times New Roman" w:cs="Times New Roman"/>
          <w:sz w:val="24"/>
          <w:szCs w:val="24"/>
        </w:rPr>
        <w:t xml:space="preserve">В рамках подпрограммы «Профессиональное искусство» </w:t>
      </w:r>
      <w:r w:rsidRPr="000B66CB">
        <w:rPr>
          <w:rFonts w:ascii="Times New Roman" w:eastAsia="Calibri" w:hAnsi="Times New Roman" w:cs="Times New Roman"/>
          <w:sz w:val="24"/>
          <w:szCs w:val="24"/>
        </w:rPr>
        <w:t>г</w:t>
      </w:r>
      <w:r w:rsidRPr="000B66CB">
        <w:rPr>
          <w:rFonts w:ascii="Times New Roman" w:hAnsi="Times New Roman" w:cs="Times New Roman"/>
          <w:sz w:val="24"/>
          <w:szCs w:val="24"/>
        </w:rPr>
        <w:t xml:space="preserve">осударственной </w:t>
      </w:r>
      <w:r w:rsidRPr="00AB6500">
        <w:rPr>
          <w:rFonts w:ascii="Times New Roman" w:hAnsi="Times New Roman" w:cs="Times New Roman"/>
          <w:sz w:val="24"/>
          <w:szCs w:val="24"/>
        </w:rPr>
        <w:t xml:space="preserve">программы Амурской области «Развитие и сохранение культуры и искусства Амурской области на </w:t>
      </w:r>
      <w:r w:rsidRPr="00AB6500">
        <w:rPr>
          <w:rFonts w:ascii="Times New Roman" w:hAnsi="Times New Roman" w:cs="Times New Roman"/>
          <w:sz w:val="24"/>
          <w:szCs w:val="24"/>
        </w:rPr>
        <w:br/>
        <w:t xml:space="preserve">2014-2020 годы» по мероприятию «Реконструкция, техническое перевооружение (переоснащение) ГАУК Амурской области «Амурская областная филармония» </w:t>
      </w:r>
      <w:r w:rsidRPr="00AB6500">
        <w:rPr>
          <w:rFonts w:ascii="Times New Roman" w:eastAsia="Calibri" w:hAnsi="Times New Roman" w:cs="Times New Roman"/>
          <w:sz w:val="24"/>
          <w:szCs w:val="24"/>
        </w:rPr>
        <w:t>предусмотрено 8000,0 тыс. рублей, исполнено 8000,0 тыс. рублей, произведена оплата кредиторской задолженности за разработку</w:t>
      </w:r>
      <w:r w:rsidR="008D63A5">
        <w:rPr>
          <w:rFonts w:ascii="Times New Roman" w:eastAsia="Calibri" w:hAnsi="Times New Roman" w:cs="Times New Roman"/>
          <w:sz w:val="24"/>
          <w:szCs w:val="24"/>
        </w:rPr>
        <w:t xml:space="preserve"> проектно-сметной документации.</w:t>
      </w:r>
    </w:p>
    <w:p w:rsidR="000B66CB" w:rsidRDefault="000B66CB" w:rsidP="000B66CB">
      <w:pPr>
        <w:spacing w:after="0" w:line="240" w:lineRule="auto"/>
        <w:ind w:firstLine="709"/>
        <w:jc w:val="both"/>
        <w:rPr>
          <w:rFonts w:ascii="Times New Roman" w:hAnsi="Times New Roman" w:cs="Times New Roman"/>
          <w:sz w:val="24"/>
          <w:szCs w:val="24"/>
        </w:rPr>
      </w:pPr>
      <w:r w:rsidRPr="00C924E6">
        <w:rPr>
          <w:rFonts w:ascii="Times New Roman" w:eastAsia="Calibri" w:hAnsi="Times New Roman" w:cs="Times New Roman"/>
          <w:sz w:val="24"/>
          <w:szCs w:val="24"/>
        </w:rPr>
        <w:t>Контрольно-счетная палата Амурской области отмечает, что г</w:t>
      </w:r>
      <w:r w:rsidRPr="00C924E6">
        <w:rPr>
          <w:rFonts w:ascii="Times New Roman" w:hAnsi="Times New Roman" w:cs="Times New Roman"/>
          <w:sz w:val="24"/>
          <w:szCs w:val="24"/>
        </w:rPr>
        <w:t>осударственной программой Амурской области «Развитие</w:t>
      </w:r>
      <w:r w:rsidRPr="004B343C">
        <w:rPr>
          <w:rFonts w:ascii="Times New Roman" w:hAnsi="Times New Roman" w:cs="Times New Roman"/>
          <w:sz w:val="24"/>
          <w:szCs w:val="24"/>
        </w:rPr>
        <w:t xml:space="preserve"> и сохранение культуры и искусства Амурской области на 2014-2020 годы» расходы на реконструкцию Амурской областной филармонии в период до 2020 года не предусмотрен</w:t>
      </w:r>
      <w:r>
        <w:rPr>
          <w:rFonts w:ascii="Times New Roman" w:hAnsi="Times New Roman" w:cs="Times New Roman"/>
          <w:sz w:val="24"/>
          <w:szCs w:val="24"/>
        </w:rPr>
        <w:t>ы</w:t>
      </w:r>
      <w:r w:rsidRPr="004B343C">
        <w:rPr>
          <w:rFonts w:ascii="Times New Roman" w:hAnsi="Times New Roman" w:cs="Times New Roman"/>
          <w:sz w:val="24"/>
          <w:szCs w:val="24"/>
        </w:rPr>
        <w:t xml:space="preserve">. Невостребованность проектно-сметной документации в связи с отсутствием источников </w:t>
      </w:r>
      <w:r>
        <w:rPr>
          <w:rFonts w:ascii="Times New Roman" w:hAnsi="Times New Roman" w:cs="Times New Roman"/>
          <w:sz w:val="24"/>
          <w:szCs w:val="24"/>
        </w:rPr>
        <w:t xml:space="preserve">финансирования </w:t>
      </w:r>
      <w:r w:rsidRPr="004B343C">
        <w:rPr>
          <w:rFonts w:ascii="Times New Roman" w:hAnsi="Times New Roman" w:cs="Times New Roman"/>
          <w:sz w:val="24"/>
          <w:szCs w:val="24"/>
        </w:rPr>
        <w:t xml:space="preserve">расходов не позволит </w:t>
      </w:r>
      <w:r w:rsidRPr="004B343C">
        <w:rPr>
          <w:rFonts w:ascii="Times New Roman" w:hAnsi="Times New Roman" w:cs="Times New Roman"/>
          <w:sz w:val="24"/>
          <w:szCs w:val="24"/>
        </w:rPr>
        <w:lastRenderedPageBreak/>
        <w:t>обеспечить соблюдение принципа эффективности использования бюджетных средств, предусмотренного статьей 34 Бюджетног</w:t>
      </w:r>
      <w:r w:rsidR="008D63A5">
        <w:rPr>
          <w:rFonts w:ascii="Times New Roman" w:hAnsi="Times New Roman" w:cs="Times New Roman"/>
          <w:sz w:val="24"/>
          <w:szCs w:val="24"/>
        </w:rPr>
        <w:t>о кодекса Российской Федерации.</w:t>
      </w:r>
    </w:p>
    <w:p w:rsidR="000B66CB" w:rsidRPr="0084096F" w:rsidRDefault="000B66CB" w:rsidP="000B66CB">
      <w:pPr>
        <w:numPr>
          <w:ilvl w:val="0"/>
          <w:numId w:val="21"/>
        </w:numPr>
        <w:spacing w:after="0" w:line="240" w:lineRule="auto"/>
        <w:ind w:left="0" w:firstLine="709"/>
        <w:contextualSpacing/>
        <w:jc w:val="both"/>
        <w:rPr>
          <w:rFonts w:ascii="Times New Roman" w:eastAsia="Calibri" w:hAnsi="Times New Roman" w:cs="Times New Roman"/>
          <w:b/>
          <w:i/>
          <w:sz w:val="24"/>
          <w:szCs w:val="24"/>
        </w:rPr>
      </w:pPr>
      <w:r w:rsidRPr="0084096F">
        <w:rPr>
          <w:rFonts w:ascii="Times New Roman" w:eastAsia="Calibri" w:hAnsi="Times New Roman" w:cs="Times New Roman"/>
          <w:b/>
          <w:i/>
          <w:sz w:val="24"/>
          <w:szCs w:val="24"/>
        </w:rPr>
        <w:t xml:space="preserve">Министерство </w:t>
      </w:r>
      <w:r>
        <w:rPr>
          <w:rFonts w:ascii="Times New Roman" w:eastAsia="Calibri" w:hAnsi="Times New Roman" w:cs="Times New Roman"/>
          <w:b/>
          <w:i/>
          <w:sz w:val="24"/>
          <w:szCs w:val="24"/>
        </w:rPr>
        <w:t>жилищно-коммунального хозяйства</w:t>
      </w:r>
      <w:r w:rsidR="008D63A5">
        <w:rPr>
          <w:rFonts w:ascii="Times New Roman" w:eastAsia="Calibri" w:hAnsi="Times New Roman" w:cs="Times New Roman"/>
          <w:b/>
          <w:i/>
          <w:sz w:val="24"/>
          <w:szCs w:val="24"/>
        </w:rPr>
        <w:t xml:space="preserve"> области</w:t>
      </w:r>
    </w:p>
    <w:p w:rsidR="000B66CB" w:rsidRDefault="000B66CB" w:rsidP="000B66C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CD312B">
        <w:rPr>
          <w:rFonts w:ascii="Times New Roman" w:hAnsi="Times New Roman" w:cs="Times New Roman"/>
          <w:sz w:val="24"/>
          <w:szCs w:val="24"/>
        </w:rPr>
        <w:t xml:space="preserve">В рамках </w:t>
      </w:r>
      <w:r>
        <w:rPr>
          <w:rFonts w:ascii="Times New Roman" w:hAnsi="Times New Roman" w:cs="Times New Roman"/>
          <w:sz w:val="24"/>
          <w:szCs w:val="24"/>
        </w:rPr>
        <w:t>п</w:t>
      </w:r>
      <w:r w:rsidRPr="00CD312B">
        <w:rPr>
          <w:rFonts w:ascii="Times New Roman" w:hAnsi="Times New Roman" w:cs="Times New Roman"/>
          <w:sz w:val="24"/>
          <w:szCs w:val="24"/>
        </w:rPr>
        <w:t>одпрограмм</w:t>
      </w:r>
      <w:r>
        <w:rPr>
          <w:rFonts w:ascii="Times New Roman" w:hAnsi="Times New Roman" w:cs="Times New Roman"/>
          <w:sz w:val="24"/>
          <w:szCs w:val="24"/>
        </w:rPr>
        <w:t>ы</w:t>
      </w:r>
      <w:r w:rsidRPr="00CD312B">
        <w:rPr>
          <w:rFonts w:ascii="Times New Roman" w:hAnsi="Times New Roman" w:cs="Times New Roman"/>
          <w:sz w:val="24"/>
          <w:szCs w:val="24"/>
        </w:rPr>
        <w:t xml:space="preserve"> </w:t>
      </w:r>
      <w:r>
        <w:rPr>
          <w:rFonts w:ascii="Times New Roman" w:hAnsi="Times New Roman" w:cs="Times New Roman"/>
          <w:sz w:val="24"/>
          <w:szCs w:val="24"/>
        </w:rPr>
        <w:t>«Улучшение жилищных условий отдельных категорий граждан, проживающих на территории области» государственной программы «Обеспечение доступным и качественным жильем населения Амурской области на 2014-2020 годы» предусмотрены расходы на капитальные вложения</w:t>
      </w:r>
      <w:r>
        <w:rPr>
          <w:rFonts w:ascii="Times New Roman" w:eastAsia="Calibri" w:hAnsi="Times New Roman" w:cs="Times New Roman"/>
          <w:sz w:val="24"/>
          <w:szCs w:val="24"/>
        </w:rPr>
        <w:t xml:space="preserve"> за счет средств федерального бюджета, выделенных в виде субвенции на обеспечение жильем граждан, уволенных с военной службы, </w:t>
      </w:r>
      <w:r w:rsidRPr="0084096F">
        <w:rPr>
          <w:rFonts w:ascii="Times New Roman" w:eastAsia="Calibri" w:hAnsi="Times New Roman" w:cs="Times New Roman"/>
          <w:sz w:val="24"/>
          <w:szCs w:val="24"/>
        </w:rPr>
        <w:t xml:space="preserve">предусмотрено </w:t>
      </w:r>
      <w:r w:rsidR="00A30E82">
        <w:rPr>
          <w:rFonts w:ascii="Times New Roman" w:eastAsia="Calibri" w:hAnsi="Times New Roman" w:cs="Times New Roman"/>
          <w:sz w:val="24"/>
          <w:szCs w:val="24"/>
        </w:rPr>
        <w:t>4400,2</w:t>
      </w:r>
      <w:r>
        <w:rPr>
          <w:rFonts w:ascii="Times New Roman" w:eastAsia="Calibri" w:hAnsi="Times New Roman" w:cs="Times New Roman"/>
          <w:sz w:val="24"/>
          <w:szCs w:val="24"/>
        </w:rPr>
        <w:t xml:space="preserve"> тыс. рублей, исполнение составило 2185,2 тыс. рублей, или </w:t>
      </w:r>
      <w:r w:rsidR="00A30E82">
        <w:rPr>
          <w:rFonts w:ascii="Times New Roman" w:eastAsia="Calibri" w:hAnsi="Times New Roman" w:cs="Times New Roman"/>
          <w:sz w:val="24"/>
          <w:szCs w:val="24"/>
        </w:rPr>
        <w:t>49,7</w:t>
      </w:r>
      <w:r>
        <w:rPr>
          <w:rFonts w:ascii="Times New Roman" w:eastAsia="Calibri" w:hAnsi="Times New Roman" w:cs="Times New Roman"/>
          <w:sz w:val="24"/>
          <w:szCs w:val="24"/>
        </w:rPr>
        <w:t xml:space="preserve"> процента (</w:t>
      </w:r>
      <w:r w:rsidRPr="00625157">
        <w:rPr>
          <w:rFonts w:ascii="Times New Roman" w:hAnsi="Times New Roman" w:cs="Times New Roman"/>
          <w:sz w:val="24"/>
          <w:szCs w:val="24"/>
        </w:rPr>
        <w:t>приобретен</w:t>
      </w:r>
      <w:r>
        <w:rPr>
          <w:rFonts w:ascii="Times New Roman" w:hAnsi="Times New Roman" w:cs="Times New Roman"/>
          <w:sz w:val="24"/>
          <w:szCs w:val="24"/>
        </w:rPr>
        <w:t xml:space="preserve">а одна квартира, площадью 59,8 кв. м). Низкий уровень исполнения связан с тем, что </w:t>
      </w:r>
      <w:r>
        <w:rPr>
          <w:rFonts w:ascii="Times New Roman" w:hAnsi="Times New Roman"/>
          <w:sz w:val="24"/>
          <w:szCs w:val="24"/>
        </w:rPr>
        <w:t>в связи с</w:t>
      </w:r>
      <w:r>
        <w:rPr>
          <w:rFonts w:ascii="Times New Roman" w:hAnsi="Times New Roman" w:cs="Times New Roman"/>
          <w:sz w:val="24"/>
          <w:szCs w:val="24"/>
        </w:rPr>
        <w:t xml:space="preserve"> отсутствием заявок </w:t>
      </w:r>
      <w:r>
        <w:rPr>
          <w:rFonts w:ascii="Times New Roman" w:hAnsi="Times New Roman"/>
          <w:sz w:val="24"/>
          <w:szCs w:val="24"/>
        </w:rPr>
        <w:t>аукцион на приобретение квартир</w:t>
      </w:r>
      <w:r w:rsidRPr="00AB6500">
        <w:rPr>
          <w:rFonts w:ascii="Times New Roman" w:hAnsi="Times New Roman" w:cs="Times New Roman"/>
          <w:sz w:val="24"/>
          <w:szCs w:val="24"/>
        </w:rPr>
        <w:t xml:space="preserve"> </w:t>
      </w:r>
      <w:r>
        <w:rPr>
          <w:rFonts w:ascii="Times New Roman" w:hAnsi="Times New Roman" w:cs="Times New Roman"/>
          <w:sz w:val="24"/>
          <w:szCs w:val="24"/>
        </w:rPr>
        <w:t>трижды</w:t>
      </w:r>
      <w:r>
        <w:rPr>
          <w:rFonts w:ascii="Times New Roman" w:hAnsi="Times New Roman"/>
          <w:sz w:val="24"/>
          <w:szCs w:val="24"/>
        </w:rPr>
        <w:t xml:space="preserve"> признан несостоявшимся</w:t>
      </w:r>
      <w:r w:rsidR="00A30E82">
        <w:rPr>
          <w:rFonts w:ascii="Times New Roman" w:hAnsi="Times New Roman" w:cs="Times New Roman"/>
          <w:sz w:val="24"/>
          <w:szCs w:val="24"/>
        </w:rPr>
        <w:t>.</w:t>
      </w:r>
    </w:p>
    <w:p w:rsidR="000B66CB" w:rsidRPr="000B66CB" w:rsidRDefault="000B66CB" w:rsidP="000B66CB">
      <w:pPr>
        <w:pStyle w:val="ConsPlusNormal"/>
        <w:widowControl/>
        <w:numPr>
          <w:ilvl w:val="0"/>
          <w:numId w:val="21"/>
        </w:numPr>
        <w:tabs>
          <w:tab w:val="left" w:pos="1134"/>
          <w:tab w:val="left" w:pos="1276"/>
        </w:tabs>
        <w:ind w:left="0" w:firstLine="709"/>
        <w:contextualSpacing/>
        <w:jc w:val="both"/>
        <w:rPr>
          <w:rFonts w:ascii="Times New Roman" w:eastAsia="Calibri" w:hAnsi="Times New Roman" w:cs="Times New Roman"/>
          <w:b/>
          <w:sz w:val="24"/>
          <w:szCs w:val="24"/>
        </w:rPr>
      </w:pPr>
      <w:r w:rsidRPr="000B66CB">
        <w:rPr>
          <w:rFonts w:ascii="Times New Roman" w:eastAsia="Calibri" w:hAnsi="Times New Roman" w:cs="Times New Roman"/>
          <w:b/>
          <w:sz w:val="24"/>
          <w:szCs w:val="24"/>
        </w:rPr>
        <w:t>Министерство лесного хозяйства и пожарной безопасности области</w:t>
      </w:r>
    </w:p>
    <w:p w:rsidR="000B66CB" w:rsidRPr="00B5583F" w:rsidRDefault="000B66CB" w:rsidP="000B66CB">
      <w:pPr>
        <w:autoSpaceDE w:val="0"/>
        <w:autoSpaceDN w:val="0"/>
        <w:adjustRightInd w:val="0"/>
        <w:spacing w:after="0" w:line="240" w:lineRule="auto"/>
        <w:ind w:firstLine="709"/>
        <w:jc w:val="both"/>
        <w:rPr>
          <w:rFonts w:ascii="Times New Roman" w:hAnsi="Times New Roman" w:cs="Times New Roman"/>
          <w:sz w:val="24"/>
          <w:szCs w:val="24"/>
        </w:rPr>
      </w:pPr>
      <w:r w:rsidRPr="000B66CB">
        <w:rPr>
          <w:rFonts w:ascii="Times New Roman" w:hAnsi="Times New Roman" w:cs="Times New Roman"/>
          <w:sz w:val="24"/>
          <w:szCs w:val="24"/>
        </w:rPr>
        <w:t xml:space="preserve">В рамках подпрограммы «Развитие транспортного комплекса» государственной программы Амурской области «Развитие транспортной системы Амурской области на </w:t>
      </w:r>
      <w:r w:rsidRPr="000B66CB">
        <w:rPr>
          <w:rFonts w:ascii="Times New Roman" w:hAnsi="Times New Roman" w:cs="Times New Roman"/>
          <w:sz w:val="24"/>
          <w:szCs w:val="24"/>
        </w:rPr>
        <w:br/>
        <w:t>2014–2020 годы» за счет средств</w:t>
      </w:r>
      <w:r w:rsidRPr="00B5583F">
        <w:rPr>
          <w:rFonts w:ascii="Times New Roman" w:hAnsi="Times New Roman" w:cs="Times New Roman"/>
          <w:sz w:val="24"/>
          <w:szCs w:val="24"/>
        </w:rPr>
        <w:t xml:space="preserve"> областного бюджета в 2017 году предусмотрено предоставление автономному учреждению субсидии на приобретение объектов недвижимого имущества в государственную собственность в размере 27937,2 тыс. рублей, исполнение по данному направлению расходов 27937,2 тыс. рублей. Средства использованы на приобретение вертолета (в соответствии со статьей 130 Гражданского кодекса Российской Федерации к недвижимым вещам относятся подлежащие государственной регистрации воздушные суда).</w:t>
      </w:r>
    </w:p>
    <w:p w:rsidR="000B66CB" w:rsidRDefault="000B66CB" w:rsidP="000B66CB">
      <w:pPr>
        <w:pStyle w:val="afa"/>
        <w:tabs>
          <w:tab w:val="left" w:pos="709"/>
          <w:tab w:val="left" w:pos="851"/>
        </w:tabs>
        <w:suppressAutoHyphens/>
        <w:ind w:left="0" w:firstLine="709"/>
        <w:jc w:val="center"/>
        <w:rPr>
          <w:rFonts w:eastAsiaTheme="minorHAnsi"/>
          <w:b/>
          <w:sz w:val="24"/>
          <w:szCs w:val="24"/>
        </w:rPr>
      </w:pPr>
      <w:r w:rsidRPr="007C518A">
        <w:rPr>
          <w:rFonts w:eastAsiaTheme="minorHAnsi"/>
          <w:b/>
          <w:sz w:val="24"/>
          <w:szCs w:val="24"/>
        </w:rPr>
        <w:t xml:space="preserve">Анализ объектов незавершенного строительства, числящихся на балансе </w:t>
      </w:r>
      <w:r>
        <w:rPr>
          <w:rFonts w:eastAsiaTheme="minorHAnsi"/>
          <w:b/>
          <w:sz w:val="24"/>
          <w:szCs w:val="24"/>
        </w:rPr>
        <w:br/>
      </w:r>
      <w:r w:rsidRPr="007C518A">
        <w:rPr>
          <w:rFonts w:eastAsiaTheme="minorHAnsi"/>
          <w:b/>
          <w:sz w:val="24"/>
          <w:szCs w:val="24"/>
        </w:rPr>
        <w:t>ГКУ Амурской области «Строитель»</w:t>
      </w:r>
    </w:p>
    <w:p w:rsidR="000B66CB" w:rsidRPr="007C518A" w:rsidRDefault="000B66CB" w:rsidP="000B66CB">
      <w:pPr>
        <w:pStyle w:val="afa"/>
        <w:tabs>
          <w:tab w:val="left" w:pos="709"/>
          <w:tab w:val="left" w:pos="851"/>
        </w:tabs>
        <w:suppressAutoHyphens/>
        <w:ind w:left="0" w:firstLine="709"/>
        <w:jc w:val="both"/>
        <w:rPr>
          <w:rFonts w:asciiTheme="minorHAnsi" w:eastAsiaTheme="minorHAnsi" w:hAnsiTheme="minorHAnsi" w:cstheme="minorBidi"/>
          <w:b/>
          <w:sz w:val="24"/>
          <w:szCs w:val="24"/>
        </w:rPr>
      </w:pPr>
      <w:r>
        <w:rPr>
          <w:sz w:val="24"/>
          <w:szCs w:val="24"/>
        </w:rPr>
        <w:t>Контрольно-счетной палатой Амурской области в ходе проведения контрольного мероприятия «Проверка отдельных вопросов деятельности ГКУ Амурской области «Строитель» в части использования средств областного бюджета, выделенных в 2017 году в виде бюджетных инвестиций в объекты капитального строительства государственной собственности области» осуществлен анализ объектов незавершенного строительства, числящихся на балансе учреждения по состоянию на 01.01.2018 года, которым установлено следующее.</w:t>
      </w:r>
    </w:p>
    <w:p w:rsidR="000B66CB" w:rsidRPr="001704B6" w:rsidRDefault="000B66CB" w:rsidP="000B66CB">
      <w:pPr>
        <w:tabs>
          <w:tab w:val="left" w:pos="851"/>
        </w:tabs>
        <w:spacing w:after="0" w:line="240" w:lineRule="auto"/>
        <w:ind w:firstLine="709"/>
        <w:jc w:val="both"/>
        <w:rPr>
          <w:rFonts w:ascii="Times New Roman" w:eastAsia="Lucida Sans Unicode" w:hAnsi="Times New Roman"/>
          <w:sz w:val="24"/>
          <w:szCs w:val="24"/>
        </w:rPr>
      </w:pPr>
      <w:r>
        <w:rPr>
          <w:rFonts w:ascii="Times New Roman" w:hAnsi="Times New Roman"/>
          <w:sz w:val="24"/>
          <w:szCs w:val="24"/>
        </w:rPr>
        <w:t xml:space="preserve">В 2017 году произведена передача затрат, числящихся по счету «Вложения в нефинансовые активы», по завершенным строительством объектам в объеме 349611,6 тыс. рублей, а также </w:t>
      </w:r>
      <w:r>
        <w:rPr>
          <w:rFonts w:ascii="Times New Roman" w:eastAsia="Lucida Sans Unicode" w:hAnsi="Times New Roman"/>
          <w:sz w:val="24"/>
          <w:szCs w:val="24"/>
        </w:rPr>
        <w:t xml:space="preserve">на основании решения комиссии от 24.03.2017 № 1 по рассмотрению ходатайств учреждения о согласовании списания затрат по неосуществленному строительству объектов, в соответствии с Положением о порядке списания затрат по объектам незавершенного строительства, финансирование которых осуществлялось за счет средств областного бюджета, утвержденным постановлением Правительства Амурской области от 15.11.2012 № 641, произведено списание затрат, </w:t>
      </w:r>
      <w:r w:rsidRPr="00B235CF">
        <w:rPr>
          <w:rFonts w:ascii="Times New Roman" w:eastAsia="Lucida Sans Unicode" w:hAnsi="Times New Roman"/>
          <w:sz w:val="24"/>
          <w:szCs w:val="24"/>
        </w:rPr>
        <w:t>представляющих собой расходы областного бюджета на подготовку проектно-сметной документации</w:t>
      </w:r>
      <w:r>
        <w:rPr>
          <w:rFonts w:ascii="Times New Roman" w:eastAsia="Lucida Sans Unicode" w:hAnsi="Times New Roman"/>
          <w:sz w:val="24"/>
          <w:szCs w:val="24"/>
        </w:rPr>
        <w:t xml:space="preserve">, на </w:t>
      </w:r>
      <w:r w:rsidRPr="001704B6">
        <w:rPr>
          <w:rFonts w:ascii="Times New Roman" w:eastAsia="Lucida Sans Unicode" w:hAnsi="Times New Roman"/>
          <w:sz w:val="24"/>
          <w:szCs w:val="24"/>
        </w:rPr>
        <w:t>сумму 421,5 тыс. рублей по объекту «Микрорайон Северный, г. Тында»</w:t>
      </w:r>
      <w:r w:rsidR="008D63A5">
        <w:rPr>
          <w:rFonts w:ascii="Times New Roman" w:eastAsia="Lucida Sans Unicode" w:hAnsi="Times New Roman"/>
          <w:sz w:val="24"/>
          <w:szCs w:val="24"/>
        </w:rPr>
        <w:t>.</w:t>
      </w:r>
    </w:p>
    <w:p w:rsidR="000B66CB" w:rsidRDefault="000B66CB" w:rsidP="000B66CB">
      <w:pPr>
        <w:tabs>
          <w:tab w:val="left" w:pos="709"/>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 xml:space="preserve">Согласно данным годового отчета ГКУ Амурской области «Строитель» по состоянию на 01.01.2018 по данным баланса получателя бюджетных средств по строке </w:t>
      </w:r>
      <w:r>
        <w:rPr>
          <w:rFonts w:ascii="Times New Roman" w:eastAsia="Lucida Sans Unicode" w:hAnsi="Times New Roman"/>
          <w:sz w:val="24"/>
          <w:szCs w:val="24"/>
        </w:rPr>
        <w:br/>
        <w:t>«Вложения в недвижимое имущество учреждения» отражена сумма 2626282,2 тыс. рублей (по состоянию на 01.01.2017 - 2912139,8 тыс. рублей), представляющая собой объем затрат по незавер</w:t>
      </w:r>
      <w:r w:rsidR="008D63A5">
        <w:rPr>
          <w:rFonts w:ascii="Times New Roman" w:eastAsia="Lucida Sans Unicode" w:hAnsi="Times New Roman"/>
          <w:sz w:val="24"/>
          <w:szCs w:val="24"/>
        </w:rPr>
        <w:t>шенным строительством объектам.</w:t>
      </w:r>
    </w:p>
    <w:p w:rsidR="000B66CB" w:rsidRPr="000B66CB" w:rsidRDefault="000B66CB" w:rsidP="000B66C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235CF">
        <w:rPr>
          <w:rFonts w:ascii="Times New Roman" w:hAnsi="Times New Roman"/>
          <w:sz w:val="24"/>
          <w:szCs w:val="24"/>
        </w:rPr>
        <w:t xml:space="preserve">Анализом незавершенных строительством объектов установлено, что продолжают сохраняться отмеченные по результатам ранее проведенных контрольно-счетной палатой Амурской </w:t>
      </w:r>
      <w:r w:rsidRPr="000B66CB">
        <w:rPr>
          <w:rFonts w:ascii="Times New Roman" w:hAnsi="Times New Roman" w:cs="Times New Roman"/>
          <w:sz w:val="24"/>
          <w:szCs w:val="24"/>
        </w:rPr>
        <w:t xml:space="preserve">области проверок риски, связанные с невостребованностью проектно-сметной документации в связи с отсутствием предусмотренных за счет бюджетных средств расходов на строительство объектов, что в конечном итоге не позволит обеспечить соблюдение принципа эффективности использования бюджетных средств, предусмотренного статьей </w:t>
      </w:r>
      <w:r w:rsidRPr="000B66CB">
        <w:rPr>
          <w:rFonts w:ascii="Times New Roman" w:hAnsi="Times New Roman" w:cs="Times New Roman"/>
          <w:sz w:val="24"/>
          <w:szCs w:val="24"/>
        </w:rPr>
        <w:br/>
      </w:r>
      <w:r w:rsidRPr="000B66CB">
        <w:rPr>
          <w:rFonts w:ascii="Times New Roman" w:hAnsi="Times New Roman" w:cs="Times New Roman"/>
          <w:sz w:val="24"/>
          <w:szCs w:val="24"/>
        </w:rPr>
        <w:lastRenderedPageBreak/>
        <w:t xml:space="preserve">34 Бюджетного кодекса Российской Федерации, и может привести к неэффективному расходованию средств областного </w:t>
      </w:r>
      <w:r w:rsidR="008D63A5">
        <w:rPr>
          <w:rFonts w:ascii="Times New Roman" w:hAnsi="Times New Roman" w:cs="Times New Roman"/>
          <w:sz w:val="24"/>
          <w:szCs w:val="24"/>
        </w:rPr>
        <w:t>бюджета.</w:t>
      </w:r>
    </w:p>
    <w:p w:rsidR="000B66CB" w:rsidRPr="000B66CB" w:rsidRDefault="000B66CB" w:rsidP="000B66C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B66CB">
        <w:rPr>
          <w:rFonts w:ascii="Times New Roman" w:hAnsi="Times New Roman" w:cs="Times New Roman"/>
          <w:sz w:val="24"/>
          <w:szCs w:val="24"/>
        </w:rPr>
        <w:t xml:space="preserve">По состоянию на 01.01.2018 года объем расходов на подготовку проектно-сметной документации по 40 объектам, строительство которых не начато, и государственными программами области на период до 2020 года не предусмотрено, составляет </w:t>
      </w:r>
      <w:r w:rsidRPr="000B66CB">
        <w:rPr>
          <w:rFonts w:ascii="Times New Roman" w:hAnsi="Times New Roman" w:cs="Times New Roman"/>
          <w:sz w:val="24"/>
          <w:szCs w:val="24"/>
        </w:rPr>
        <w:br/>
        <w:t>58373,1 тыс. р</w:t>
      </w:r>
      <w:r w:rsidR="008D63A5">
        <w:rPr>
          <w:rFonts w:ascii="Times New Roman" w:hAnsi="Times New Roman" w:cs="Times New Roman"/>
          <w:sz w:val="24"/>
          <w:szCs w:val="24"/>
        </w:rPr>
        <w:t>ублей.</w:t>
      </w:r>
    </w:p>
    <w:p w:rsidR="000B66CB" w:rsidRPr="000B66CB" w:rsidRDefault="000B66CB" w:rsidP="000B66CB">
      <w:pPr>
        <w:pStyle w:val="ConsPlusNormal"/>
        <w:ind w:firstLine="709"/>
        <w:jc w:val="both"/>
        <w:rPr>
          <w:rFonts w:ascii="Times New Roman" w:hAnsi="Times New Roman" w:cs="Times New Roman"/>
          <w:sz w:val="24"/>
          <w:szCs w:val="24"/>
        </w:rPr>
      </w:pPr>
      <w:r w:rsidRPr="000B66CB">
        <w:rPr>
          <w:rFonts w:ascii="Times New Roman" w:hAnsi="Times New Roman" w:cs="Times New Roman"/>
          <w:sz w:val="24"/>
          <w:szCs w:val="24"/>
        </w:rPr>
        <w:t>Кроме того, в перечне незавершенных строительством объектов по состоянию на 01.01.2018 года отражены расходы в размере 1764097,4 тыс. рублей по 12 объектам, фактически завершенным строительством и введенным в эксплуатацию.</w:t>
      </w:r>
      <w:r w:rsidRPr="000B66CB">
        <w:rPr>
          <w:rFonts w:ascii="Times New Roman" w:hAnsi="Times New Roman" w:cs="Times New Roman"/>
          <w:color w:val="FF0000"/>
          <w:sz w:val="24"/>
          <w:szCs w:val="24"/>
        </w:rPr>
        <w:t xml:space="preserve"> </w:t>
      </w:r>
      <w:r w:rsidRPr="000B66CB">
        <w:rPr>
          <w:rFonts w:ascii="Times New Roman" w:hAnsi="Times New Roman" w:cs="Times New Roman"/>
          <w:sz w:val="24"/>
          <w:szCs w:val="24"/>
        </w:rPr>
        <w:t>Затраты по строительству объектов не переданы по различным причинам (отказ в приемке затрат, отсутствие возможности в определении балансодержателя объекта и т.д.) и продолжают числиться по данным учета ГКУ Амурской области «Строитель» в составе вложений в нефинансовые активы, что, в свою очередь, не дает достоверного представления о фактических объемах незавершенного строительства на отчетную дату.</w:t>
      </w:r>
    </w:p>
    <w:p w:rsidR="000B66CB" w:rsidRDefault="000B66CB" w:rsidP="000B66CB">
      <w:pPr>
        <w:tabs>
          <w:tab w:val="left" w:pos="0"/>
        </w:tabs>
        <w:spacing w:after="0" w:line="240" w:lineRule="auto"/>
        <w:ind w:firstLine="709"/>
        <w:contextualSpacing/>
        <w:jc w:val="both"/>
      </w:pPr>
      <w:r w:rsidRPr="000B66CB">
        <w:rPr>
          <w:rFonts w:ascii="Times New Roman" w:hAnsi="Times New Roman" w:cs="Times New Roman"/>
          <w:sz w:val="24"/>
          <w:szCs w:val="24"/>
        </w:rPr>
        <w:t>В перечне незавершенных строительством объектов отражены 13 объектов со стоимостью затрат 795958,2 тыс. рублей, в отношении которых не принято</w:t>
      </w:r>
      <w:r>
        <w:rPr>
          <w:rFonts w:ascii="Times New Roman" w:hAnsi="Times New Roman"/>
          <w:sz w:val="24"/>
          <w:szCs w:val="24"/>
        </w:rPr>
        <w:t xml:space="preserve"> решений о продолжении финансирования для завершения их строительством в рамках расходов областного бюджета на период 2018-2020 годов, в том числе:</w:t>
      </w:r>
    </w:p>
    <w:p w:rsidR="000B66CB" w:rsidRPr="00DD2E03" w:rsidRDefault="000B66CB" w:rsidP="000B66CB">
      <w:pPr>
        <w:pStyle w:val="afa"/>
        <w:widowControl/>
        <w:numPr>
          <w:ilvl w:val="0"/>
          <w:numId w:val="23"/>
        </w:numPr>
        <w:tabs>
          <w:tab w:val="left" w:pos="0"/>
        </w:tabs>
        <w:autoSpaceDE/>
        <w:autoSpaceDN/>
        <w:adjustRightInd/>
        <w:ind w:left="0" w:firstLine="709"/>
        <w:jc w:val="both"/>
        <w:rPr>
          <w:rFonts w:asciiTheme="minorHAnsi" w:eastAsiaTheme="minorHAnsi" w:hAnsiTheme="minorHAnsi" w:cstheme="minorBidi"/>
        </w:rPr>
      </w:pPr>
      <w:r w:rsidRPr="00DD2E03">
        <w:rPr>
          <w:rFonts w:eastAsiaTheme="minorHAnsi"/>
          <w:sz w:val="24"/>
          <w:szCs w:val="24"/>
        </w:rPr>
        <w:t>-</w:t>
      </w:r>
      <w:r w:rsidRPr="00DD2E03">
        <w:rPr>
          <w:rFonts w:eastAsiaTheme="minorHAnsi"/>
          <w:sz w:val="24"/>
          <w:szCs w:val="24"/>
          <w:lang w:val="en-US"/>
        </w:rPr>
        <w:t>II</w:t>
      </w:r>
      <w:r w:rsidRPr="00DD2E03">
        <w:rPr>
          <w:rFonts w:eastAsiaTheme="minorHAnsi"/>
          <w:sz w:val="24"/>
          <w:szCs w:val="24"/>
        </w:rPr>
        <w:t xml:space="preserve"> очередь Шумиловского участка временного захоронения твердых токсичных отходов – 14178,1 тыс. рублей, срок окончания работ по государственному контракту № 12 от 24.10.2011 с ООО «</w:t>
      </w:r>
      <w:r w:rsidRPr="00DD2E03">
        <w:rPr>
          <w:rFonts w:eastAsiaTheme="minorHAnsi"/>
          <w:sz w:val="24"/>
          <w:szCs w:val="24"/>
          <w:lang w:val="en-US"/>
        </w:rPr>
        <w:t>HOTEX</w:t>
      </w:r>
      <w:r w:rsidRPr="00DD2E03">
        <w:rPr>
          <w:rFonts w:eastAsiaTheme="minorHAnsi"/>
          <w:sz w:val="24"/>
          <w:szCs w:val="24"/>
        </w:rPr>
        <w:t>-2000» на строительство объекта, определен до 31.08.2012, техническая готовность объекта – 28 процентов, вопрос о дальнейшем строительстве объекта или его консервации не решен, работы не ведутся, истек срок действия заключения по экологической экспертизе;</w:t>
      </w:r>
    </w:p>
    <w:p w:rsidR="000B66CB" w:rsidRPr="00DD2E03" w:rsidRDefault="000B66CB" w:rsidP="000B66CB">
      <w:pPr>
        <w:pStyle w:val="afa"/>
        <w:widowControl/>
        <w:numPr>
          <w:ilvl w:val="0"/>
          <w:numId w:val="23"/>
        </w:numPr>
        <w:autoSpaceDE/>
        <w:autoSpaceDN/>
        <w:adjustRightInd/>
        <w:ind w:left="0" w:firstLine="709"/>
        <w:jc w:val="both"/>
        <w:outlineLvl w:val="2"/>
        <w:rPr>
          <w:rFonts w:eastAsiaTheme="minorHAnsi"/>
          <w:sz w:val="24"/>
          <w:szCs w:val="24"/>
        </w:rPr>
      </w:pPr>
      <w:r w:rsidRPr="00DD2E03">
        <w:rPr>
          <w:rFonts w:eastAsiaTheme="minorHAnsi"/>
          <w:sz w:val="24"/>
          <w:szCs w:val="24"/>
        </w:rPr>
        <w:t>-Психоневрологический интернат в с. Новый Быт Ромненского района - 10933,0 тыс. рублей,</w:t>
      </w:r>
      <w:r w:rsidRPr="00DD2E03">
        <w:rPr>
          <w:rFonts w:eastAsiaTheme="minorHAnsi"/>
          <w:color w:val="FF0000"/>
          <w:sz w:val="24"/>
          <w:szCs w:val="24"/>
        </w:rPr>
        <w:t xml:space="preserve"> </w:t>
      </w:r>
      <w:r w:rsidRPr="00DD2E03">
        <w:rPr>
          <w:rFonts w:eastAsiaTheme="minorHAnsi"/>
          <w:sz w:val="24"/>
          <w:szCs w:val="24"/>
        </w:rPr>
        <w:t xml:space="preserve">срок окончания работ по государственному контракту от 13.09.2012 </w:t>
      </w:r>
      <w:r w:rsidRPr="00DD2E03">
        <w:rPr>
          <w:rFonts w:eastAsiaTheme="minorHAnsi"/>
          <w:sz w:val="24"/>
          <w:szCs w:val="24"/>
        </w:rPr>
        <w:br/>
        <w:t>№ 0123200000312002120 с ООО «Строй Город» определен до 25.09.2014, техническая готовность объекта – 35,0 процентов, в 2014 году строительство объекта не финансировалось, работы не ведутся в связи с отсутствием средств. Мероприятиями государственной программы Амурской области «Развитие системы социальной защиты населения Амурской области на 2014-2020 годы», утвержденной Постановлением Правительства Амурской области от 25.09.2013 № 444, финансирование незавершенного строительством здания спального корпуса психоневрологического интерната в с. Новый Быт Ромненского района не предусмотрено;</w:t>
      </w:r>
    </w:p>
    <w:p w:rsidR="000B66CB" w:rsidRPr="00DD2E03" w:rsidRDefault="000B66CB" w:rsidP="000B66CB">
      <w:pPr>
        <w:pStyle w:val="afa"/>
        <w:widowControl/>
        <w:numPr>
          <w:ilvl w:val="0"/>
          <w:numId w:val="23"/>
        </w:numPr>
        <w:tabs>
          <w:tab w:val="left" w:pos="851"/>
        </w:tabs>
        <w:autoSpaceDE/>
        <w:autoSpaceDN/>
        <w:adjustRightInd/>
        <w:ind w:left="0" w:firstLine="709"/>
        <w:jc w:val="both"/>
        <w:rPr>
          <w:rFonts w:eastAsiaTheme="minorHAnsi"/>
          <w:sz w:val="24"/>
          <w:szCs w:val="24"/>
        </w:rPr>
      </w:pPr>
      <w:r w:rsidRPr="00DD2E03">
        <w:rPr>
          <w:rFonts w:eastAsiaTheme="minorHAnsi"/>
          <w:sz w:val="24"/>
          <w:szCs w:val="24"/>
        </w:rPr>
        <w:t>-Дом-интернат для умственно отсталых детей, с. Малиновка Бурейского района (завершение работ по блоку «А», выполнение работ по блоку «В») - 141949,3 тыс. рублей,</w:t>
      </w:r>
      <w:r w:rsidRPr="00DD2E03">
        <w:rPr>
          <w:rFonts w:eastAsiaTheme="minorHAnsi"/>
          <w:color w:val="FF0000"/>
          <w:sz w:val="24"/>
          <w:szCs w:val="24"/>
        </w:rPr>
        <w:t xml:space="preserve"> </w:t>
      </w:r>
      <w:r w:rsidRPr="00DD2E03">
        <w:rPr>
          <w:rFonts w:eastAsiaTheme="minorHAnsi"/>
          <w:sz w:val="24"/>
          <w:szCs w:val="24"/>
        </w:rPr>
        <w:t xml:space="preserve">срок окончания работ по государственному контракту от 11.11.2009 № 18 с </w:t>
      </w:r>
      <w:r w:rsidRPr="00DD2E03">
        <w:rPr>
          <w:rFonts w:eastAsiaTheme="minorHAnsi"/>
          <w:sz w:val="24"/>
          <w:szCs w:val="24"/>
        </w:rPr>
        <w:br/>
        <w:t>ЗАО «Строительная компания № 1» определен до 25.12.2012, техническая готовность объекта – 65,2 процента, работы не ведутся с 2014 года в связи с отсутствием бюджетных средств. Мероприятиями государственной программы Амурской области «Развитие системы социальной защиты населения Амурской области на 2014-2020 гг.», утвержденной Постановлением Правительства Амурской области от 25.09.2013 № 444, финансирование строительства объекта «Дом-интернат для умственно отсталых детей, с. Малиновка Бурей</w:t>
      </w:r>
      <w:r w:rsidR="008D63A5">
        <w:rPr>
          <w:rFonts w:eastAsiaTheme="minorHAnsi"/>
          <w:sz w:val="24"/>
          <w:szCs w:val="24"/>
        </w:rPr>
        <w:t>ского района» не предусмотрено.</w:t>
      </w:r>
    </w:p>
    <w:p w:rsidR="000B66CB" w:rsidRPr="00DD2E03" w:rsidRDefault="000B66CB" w:rsidP="000B66CB">
      <w:pPr>
        <w:pStyle w:val="afa"/>
        <w:widowControl/>
        <w:numPr>
          <w:ilvl w:val="0"/>
          <w:numId w:val="23"/>
        </w:numPr>
        <w:tabs>
          <w:tab w:val="left" w:pos="851"/>
        </w:tabs>
        <w:autoSpaceDE/>
        <w:autoSpaceDN/>
        <w:adjustRightInd/>
        <w:ind w:left="0" w:firstLine="709"/>
        <w:jc w:val="both"/>
        <w:rPr>
          <w:rFonts w:eastAsia="Lucida Sans Unicode"/>
          <w:sz w:val="24"/>
          <w:szCs w:val="24"/>
        </w:rPr>
      </w:pPr>
      <w:r w:rsidRPr="00DD2E03">
        <w:rPr>
          <w:rFonts w:eastAsia="Lucida Sans Unicode"/>
          <w:sz w:val="24"/>
          <w:szCs w:val="24"/>
        </w:rPr>
        <w:t>-Реконструкция очистных сооружений 2-я очередь п. Новобурейский – 315923,4 тыс. рублей, кроме того по счету 1 105 34 «Материальные запасы - иное движимое имущество учреждения» числится оборудование на сумму 1366</w:t>
      </w:r>
      <w:r>
        <w:rPr>
          <w:rFonts w:eastAsia="Lucida Sans Unicode"/>
          <w:sz w:val="24"/>
          <w:szCs w:val="24"/>
        </w:rPr>
        <w:t>70</w:t>
      </w:r>
      <w:r w:rsidRPr="00DD2E03">
        <w:rPr>
          <w:rFonts w:eastAsia="Lucida Sans Unicode"/>
          <w:sz w:val="24"/>
          <w:szCs w:val="24"/>
        </w:rPr>
        <w:t>,</w:t>
      </w:r>
      <w:r>
        <w:rPr>
          <w:rFonts w:eastAsia="Lucida Sans Unicode"/>
          <w:sz w:val="24"/>
          <w:szCs w:val="24"/>
        </w:rPr>
        <w:t>8</w:t>
      </w:r>
      <w:r w:rsidRPr="00DD2E03">
        <w:rPr>
          <w:rFonts w:eastAsia="Lucida Sans Unicode"/>
          <w:sz w:val="24"/>
          <w:szCs w:val="24"/>
        </w:rPr>
        <w:t xml:space="preserve"> тыс. рублей, требующее монтажа, по счету 1.106 34 «Вложения в материальные запасы – иное движимое имущество учреждения» числятся материалы на сумму 2971,0 тыс. рублей, оплата и передача на ответственное хранение оборудования и материалов осуществлены в 2007-2009 году. В соответствии с условиями муниципального контракта № 23 от 30.10.2006, заключенного между ГУП Амурской области «Строитель» и ОАО «Водоканал-Инжиниринг» на выполнение строительно-монтажных работ, текущего проектирования, поставку и монтаж </w:t>
      </w:r>
      <w:r w:rsidRPr="00DD2E03">
        <w:rPr>
          <w:rFonts w:eastAsia="Lucida Sans Unicode"/>
          <w:sz w:val="24"/>
          <w:szCs w:val="24"/>
        </w:rPr>
        <w:lastRenderedPageBreak/>
        <w:t xml:space="preserve">оборудования на объекте «Очистные сооружения </w:t>
      </w:r>
      <w:r w:rsidR="008649C0" w:rsidRPr="00DD2E03">
        <w:rPr>
          <w:rFonts w:eastAsia="Lucida Sans Unicode"/>
          <w:sz w:val="24"/>
          <w:szCs w:val="24"/>
        </w:rPr>
        <w:t>п. Новобурейский</w:t>
      </w:r>
      <w:r w:rsidRPr="00DD2E03">
        <w:rPr>
          <w:rFonts w:eastAsia="Lucida Sans Unicode"/>
          <w:sz w:val="24"/>
          <w:szCs w:val="24"/>
        </w:rPr>
        <w:t xml:space="preserve"> мощностью до </w:t>
      </w:r>
      <w:r w:rsidRPr="00DD2E03">
        <w:rPr>
          <w:rFonts w:eastAsia="Lucida Sans Unicode"/>
          <w:sz w:val="24"/>
          <w:szCs w:val="24"/>
        </w:rPr>
        <w:br/>
        <w:t>3200 м</w:t>
      </w:r>
      <w:r w:rsidRPr="00DD2E03">
        <w:rPr>
          <w:rFonts w:eastAsia="Lucida Sans Unicode"/>
          <w:sz w:val="24"/>
          <w:szCs w:val="24"/>
          <w:vertAlign w:val="superscript"/>
        </w:rPr>
        <w:t>3</w:t>
      </w:r>
      <w:r w:rsidRPr="00DD2E03">
        <w:rPr>
          <w:rFonts w:eastAsia="Lucida Sans Unicode"/>
          <w:sz w:val="24"/>
          <w:szCs w:val="24"/>
        </w:rPr>
        <w:t xml:space="preserve">/сутки в составе Зоны затопления Бурейской ГЭС», общая стоимость работ составляет 709674,0 тыс. рублей, сроки выполнения работ предусмотрены в период с 01.11.2006 до 31.08.2008. По состоянию на 01.01.2013 техническая готовность объекта – </w:t>
      </w:r>
      <w:r w:rsidRPr="00DD2E03">
        <w:rPr>
          <w:rFonts w:eastAsia="Lucida Sans Unicode"/>
          <w:sz w:val="24"/>
          <w:szCs w:val="24"/>
        </w:rPr>
        <w:br/>
        <w:t>78,8 процента, работы не ведутся с 2012 года в связи с отсутствием финансирования, вопрос о завершении строительства объект</w:t>
      </w:r>
      <w:r w:rsidR="008D63A5">
        <w:rPr>
          <w:rFonts w:eastAsia="Lucida Sans Unicode"/>
          <w:sz w:val="24"/>
          <w:szCs w:val="24"/>
        </w:rPr>
        <w:t>а или его консервации не решен.</w:t>
      </w:r>
    </w:p>
    <w:p w:rsidR="000B66CB" w:rsidRPr="001704B6" w:rsidRDefault="000B66CB" w:rsidP="000B66CB">
      <w:pPr>
        <w:tabs>
          <w:tab w:val="left" w:pos="709"/>
          <w:tab w:val="left" w:pos="851"/>
        </w:tabs>
        <w:suppressAutoHyphens/>
        <w:spacing w:after="0" w:line="100" w:lineRule="atLeast"/>
        <w:ind w:firstLine="709"/>
        <w:jc w:val="both"/>
        <w:rPr>
          <w:rFonts w:ascii="Times New Roman" w:eastAsia="Lucida Sans Unicode" w:hAnsi="Times New Roman"/>
          <w:sz w:val="24"/>
          <w:szCs w:val="24"/>
        </w:rPr>
      </w:pPr>
      <w:r w:rsidRPr="001704B6">
        <w:rPr>
          <w:rFonts w:ascii="Times New Roman" w:eastAsia="Lucida Sans Unicode" w:hAnsi="Times New Roman"/>
          <w:sz w:val="24"/>
          <w:szCs w:val="24"/>
        </w:rPr>
        <w:t>Проверкой установлено, что в 2017 году ГКУ Амурской области «Строитель» в Арбитражный суд Амурской области поданы и Арбитражным судом Амурской области рассмотрены:</w:t>
      </w:r>
    </w:p>
    <w:p w:rsidR="000B66CB" w:rsidRPr="001704B6" w:rsidRDefault="000B66CB" w:rsidP="000B66CB">
      <w:pPr>
        <w:tabs>
          <w:tab w:val="left" w:pos="709"/>
          <w:tab w:val="left" w:pos="851"/>
        </w:tabs>
        <w:suppressAutoHyphens/>
        <w:spacing w:after="0" w:line="100" w:lineRule="atLeast"/>
        <w:ind w:firstLine="709"/>
        <w:jc w:val="both"/>
        <w:rPr>
          <w:rFonts w:ascii="Times New Roman" w:eastAsia="Lucida Sans Unicode" w:hAnsi="Times New Roman"/>
          <w:sz w:val="24"/>
          <w:szCs w:val="24"/>
        </w:rPr>
      </w:pPr>
      <w:r w:rsidRPr="001704B6">
        <w:rPr>
          <w:rFonts w:ascii="Times New Roman" w:eastAsia="Lucida Sans Unicode" w:hAnsi="Times New Roman"/>
          <w:sz w:val="24"/>
          <w:szCs w:val="24"/>
        </w:rPr>
        <w:t>- исковое заявление от 29.05.2017 № 08-02-867 с требованием к АО «Водоканал-Инжиниринг» о взыскании неустойки по контракту за период с 04.09.2012 по 16.04.2017 в размере 389477,8 тыс. рублей, а также обязании исполнить обязательства по контракту. Решением Арбитражного суда Амурской области от 04.09.2017 по делу № А04-4449/2017 в удовлетворении исковых требований отказано в связи с пропуском заявителем срока исковой давности. ГКУ Амурской области «Строитель» н</w:t>
      </w:r>
      <w:r w:rsidRPr="001704B6">
        <w:rPr>
          <w:rFonts w:ascii="Times New Roman" w:hAnsi="Times New Roman"/>
          <w:sz w:val="24"/>
          <w:szCs w:val="24"/>
        </w:rPr>
        <w:t xml:space="preserve">а Решение Арбитражного суда Амурской области </w:t>
      </w:r>
      <w:r w:rsidRPr="001704B6">
        <w:rPr>
          <w:rFonts w:ascii="Times New Roman" w:eastAsia="Lucida Sans Unicode" w:hAnsi="Times New Roman"/>
          <w:sz w:val="24"/>
          <w:szCs w:val="24"/>
        </w:rPr>
        <w:t xml:space="preserve">от 04.09.2017 </w:t>
      </w:r>
      <w:r w:rsidRPr="001704B6">
        <w:rPr>
          <w:rFonts w:ascii="Times New Roman" w:hAnsi="Times New Roman"/>
          <w:sz w:val="24"/>
          <w:szCs w:val="24"/>
        </w:rPr>
        <w:t>подана апелляционная жалоба, по результатам рассмотрения которой Постановлением Шестого арбитражного апелляционного суда от 01.12.2018 решение оставлено без изменения, апелляционн</w:t>
      </w:r>
      <w:r w:rsidR="008D63A5">
        <w:rPr>
          <w:rFonts w:ascii="Times New Roman" w:hAnsi="Times New Roman"/>
          <w:sz w:val="24"/>
          <w:szCs w:val="24"/>
        </w:rPr>
        <w:t>ая жалоба - без удовлетворения;</w:t>
      </w:r>
    </w:p>
    <w:p w:rsidR="000B66CB" w:rsidRPr="001704B6" w:rsidRDefault="000B66CB" w:rsidP="000B66CB">
      <w:pPr>
        <w:tabs>
          <w:tab w:val="left" w:pos="709"/>
          <w:tab w:val="left" w:pos="851"/>
        </w:tabs>
        <w:suppressAutoHyphens/>
        <w:spacing w:after="0" w:line="240" w:lineRule="auto"/>
        <w:ind w:firstLine="709"/>
        <w:jc w:val="both"/>
        <w:rPr>
          <w:rFonts w:ascii="Times New Roman" w:eastAsia="Lucida Sans Unicode" w:hAnsi="Times New Roman"/>
          <w:sz w:val="24"/>
          <w:szCs w:val="24"/>
        </w:rPr>
      </w:pPr>
      <w:r w:rsidRPr="001704B6">
        <w:rPr>
          <w:rFonts w:ascii="Times New Roman" w:eastAsia="Lucida Sans Unicode" w:hAnsi="Times New Roman"/>
          <w:sz w:val="24"/>
          <w:szCs w:val="24"/>
        </w:rPr>
        <w:t xml:space="preserve">- исковое заявление от 09.01.2017 № 08-02-01 с требованием к АО «Водоканал-Инжиниринг» о возврате имущества, переданного по договорам хранения в рамках муниципального контракта № 23 от 30.10.2006. Решением Арбитражного суда Амурской области от 24.11.2017 по делу № А04-164/2017 требования истца удовлетворены частично: решено обязать АО «Водоканал-Инжиниринг» возвратить ГКУ Амурской области «Строитель» по акту приема-передачи имущество, переданное по договорам хранения </w:t>
      </w:r>
      <w:r w:rsidRPr="001704B6">
        <w:rPr>
          <w:rFonts w:ascii="Times New Roman" w:eastAsia="Lucida Sans Unicode" w:hAnsi="Times New Roman"/>
          <w:sz w:val="24"/>
          <w:szCs w:val="24"/>
        </w:rPr>
        <w:br/>
        <w:t xml:space="preserve">№ 23 /ХРАН от 10.12.2007; от 15.08.2008; от 19.08.2008; от 25.08.2009; от 03.09.2009; от 10.09.2009; 29.09.2009; 05.10.2009, стоимостью 176265,1 тыс. рублей. </w:t>
      </w:r>
      <w:r w:rsidRPr="001704B6">
        <w:rPr>
          <w:rFonts w:ascii="Times New Roman" w:hAnsi="Times New Roman"/>
          <w:sz w:val="24"/>
          <w:szCs w:val="24"/>
        </w:rPr>
        <w:t xml:space="preserve">На Решение Арбитражного суда Амурской области </w:t>
      </w:r>
      <w:r w:rsidRPr="001704B6">
        <w:rPr>
          <w:rFonts w:ascii="Times New Roman" w:eastAsia="Lucida Sans Unicode" w:hAnsi="Times New Roman"/>
          <w:sz w:val="24"/>
          <w:szCs w:val="24"/>
        </w:rPr>
        <w:t xml:space="preserve">от 24.11.2017 АО «Водоканал-Инжиниринг» </w:t>
      </w:r>
      <w:r w:rsidRPr="001704B6">
        <w:rPr>
          <w:rFonts w:ascii="Times New Roman" w:hAnsi="Times New Roman"/>
          <w:sz w:val="24"/>
          <w:szCs w:val="24"/>
        </w:rPr>
        <w:t>подана апелляционная жалоба, по результатам рассмотрения которой Постановлением Шестого арбитражного апелляционного суда от 16.04.2018 решение оставлено без изменения, апелляционная жалоба - без удовлетворения. Исполнительный лист от 26.12.2017 ФС</w:t>
      </w:r>
      <w:r w:rsidRPr="001704B6">
        <w:rPr>
          <w:rFonts w:ascii="Times New Roman" w:hAnsi="Times New Roman"/>
          <w:sz w:val="24"/>
          <w:szCs w:val="24"/>
        </w:rPr>
        <w:br/>
        <w:t xml:space="preserve">№ 019059686 направлен на взыскание в УФССП по Санкт-Петербургу, в отношении должника – </w:t>
      </w:r>
      <w:r w:rsidRPr="001704B6">
        <w:rPr>
          <w:rFonts w:ascii="Times New Roman" w:eastAsia="Lucida Sans Unicode" w:hAnsi="Times New Roman"/>
          <w:sz w:val="24"/>
          <w:szCs w:val="24"/>
        </w:rPr>
        <w:t>АО «Водоканал-Инжиниринг»</w:t>
      </w:r>
      <w:r w:rsidRPr="001704B6">
        <w:rPr>
          <w:rFonts w:ascii="Times New Roman" w:hAnsi="Times New Roman"/>
          <w:sz w:val="24"/>
          <w:szCs w:val="24"/>
        </w:rPr>
        <w:t xml:space="preserve"> возбуждено исполнительное производство </w:t>
      </w:r>
      <w:r w:rsidRPr="001704B6">
        <w:rPr>
          <w:rFonts w:ascii="Times New Roman" w:hAnsi="Times New Roman"/>
          <w:sz w:val="24"/>
          <w:szCs w:val="24"/>
        </w:rPr>
        <w:br/>
        <w:t xml:space="preserve">№ 8087/18/78001-ИП от 01.02.2018. По состоянию на 28.05.2018 возврат </w:t>
      </w:r>
      <w:r w:rsidRPr="001704B6">
        <w:rPr>
          <w:rFonts w:ascii="Times New Roman" w:eastAsia="Lucida Sans Unicode" w:hAnsi="Times New Roman"/>
          <w:sz w:val="24"/>
          <w:szCs w:val="24"/>
        </w:rPr>
        <w:t>имущества, переданного по договорам хранения, не произведен.</w:t>
      </w:r>
    </w:p>
    <w:p w:rsidR="000B66CB" w:rsidRPr="00B235CF" w:rsidRDefault="000B66CB" w:rsidP="000B66CB">
      <w:pPr>
        <w:autoSpaceDE w:val="0"/>
        <w:autoSpaceDN w:val="0"/>
        <w:adjustRightInd w:val="0"/>
        <w:spacing w:after="0" w:line="240" w:lineRule="auto"/>
        <w:ind w:firstLine="709"/>
        <w:jc w:val="both"/>
        <w:rPr>
          <w:rFonts w:ascii="Times New Roman" w:hAnsi="Times New Roman"/>
          <w:sz w:val="24"/>
          <w:szCs w:val="24"/>
        </w:rPr>
      </w:pPr>
      <w:r w:rsidRPr="00B235CF">
        <w:rPr>
          <w:rFonts w:ascii="Times New Roman" w:eastAsia="Lucida Sans Unicode" w:hAnsi="Times New Roman"/>
          <w:sz w:val="24"/>
          <w:szCs w:val="24"/>
        </w:rPr>
        <w:t>Учитывая значительный срок хранения имущества (от 9 до 10,5 лет), а также положения статьи 900 Гражданского кодекса Российской Федерации, предусматривающие, что «в</w:t>
      </w:r>
      <w:r w:rsidRPr="00B235CF">
        <w:rPr>
          <w:rFonts w:ascii="Times New Roman" w:hAnsi="Times New Roman"/>
          <w:sz w:val="24"/>
          <w:szCs w:val="24"/>
        </w:rPr>
        <w:t xml:space="preserve">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 существуют риски утраты потребительских свойств в отношении имущества, переданного по </w:t>
      </w:r>
      <w:r w:rsidRPr="00B235CF">
        <w:rPr>
          <w:rFonts w:ascii="Times New Roman" w:eastAsia="Lucida Sans Unicode" w:hAnsi="Times New Roman"/>
          <w:sz w:val="24"/>
          <w:szCs w:val="24"/>
        </w:rPr>
        <w:t>договорам хранения</w:t>
      </w:r>
      <w:r w:rsidRPr="00B235CF">
        <w:rPr>
          <w:rFonts w:ascii="Times New Roman" w:hAnsi="Times New Roman"/>
          <w:sz w:val="24"/>
          <w:szCs w:val="24"/>
        </w:rPr>
        <w:t>, потери его функциональных свойств, естественного физического и морального старения, что соответственно снижает возможность дальнейшего использования его по назначению.</w:t>
      </w:r>
    </w:p>
    <w:p w:rsidR="000B66CB" w:rsidRPr="001704B6" w:rsidRDefault="000B66CB" w:rsidP="000B66CB">
      <w:pPr>
        <w:autoSpaceDE w:val="0"/>
        <w:autoSpaceDN w:val="0"/>
        <w:adjustRightInd w:val="0"/>
        <w:spacing w:after="0" w:line="240" w:lineRule="auto"/>
        <w:ind w:firstLine="709"/>
        <w:jc w:val="both"/>
        <w:rPr>
          <w:rFonts w:ascii="Times New Roman" w:hAnsi="Times New Roman"/>
          <w:sz w:val="24"/>
          <w:szCs w:val="24"/>
        </w:rPr>
      </w:pPr>
      <w:r w:rsidRPr="001704B6">
        <w:rPr>
          <w:rFonts w:ascii="Times New Roman" w:eastAsia="Lucida Sans Unicode" w:hAnsi="Times New Roman"/>
          <w:sz w:val="24"/>
          <w:szCs w:val="24"/>
        </w:rPr>
        <w:t xml:space="preserve">АО «Водоканал-Инжиниринг» в Арбитражный суд Амурской области направлено исковое заявление от 16.11.2017 № 327-01-03 о расторжении муниципального контракта </w:t>
      </w:r>
      <w:r w:rsidRPr="001704B6">
        <w:rPr>
          <w:rFonts w:ascii="Times New Roman" w:eastAsia="Lucida Sans Unicode" w:hAnsi="Times New Roman"/>
          <w:sz w:val="24"/>
          <w:szCs w:val="24"/>
        </w:rPr>
        <w:br/>
        <w:t xml:space="preserve">№ 23 от 30.10.2006, заключенного между ГУП Амурской области «Строитель» и </w:t>
      </w:r>
      <w:r>
        <w:rPr>
          <w:rFonts w:ascii="Times New Roman" w:eastAsia="Lucida Sans Unicode" w:hAnsi="Times New Roman"/>
          <w:sz w:val="24"/>
          <w:szCs w:val="24"/>
        </w:rPr>
        <w:br/>
      </w:r>
      <w:r w:rsidRPr="001704B6">
        <w:rPr>
          <w:rFonts w:ascii="Times New Roman" w:eastAsia="Lucida Sans Unicode" w:hAnsi="Times New Roman"/>
          <w:sz w:val="24"/>
          <w:szCs w:val="24"/>
        </w:rPr>
        <w:t xml:space="preserve">ОАО «Водоканал-Инжиниринг» на выполнение строительно-монтажных работ, текущего проектирования, поставку и монтаж оборудования на объекте «Очистные сооружения </w:t>
      </w:r>
      <w:r w:rsidR="008649C0" w:rsidRPr="001704B6">
        <w:rPr>
          <w:rFonts w:ascii="Times New Roman" w:eastAsia="Lucida Sans Unicode" w:hAnsi="Times New Roman"/>
          <w:sz w:val="24"/>
          <w:szCs w:val="24"/>
        </w:rPr>
        <w:t>п. Новобурейский</w:t>
      </w:r>
      <w:r w:rsidRPr="001704B6">
        <w:rPr>
          <w:rFonts w:ascii="Times New Roman" w:eastAsia="Lucida Sans Unicode" w:hAnsi="Times New Roman"/>
          <w:sz w:val="24"/>
          <w:szCs w:val="24"/>
        </w:rPr>
        <w:t xml:space="preserve"> мощностью до 3200 м</w:t>
      </w:r>
      <w:r w:rsidRPr="001704B6">
        <w:rPr>
          <w:rFonts w:ascii="Times New Roman" w:eastAsia="Lucida Sans Unicode" w:hAnsi="Times New Roman"/>
          <w:sz w:val="24"/>
          <w:szCs w:val="24"/>
          <w:vertAlign w:val="superscript"/>
        </w:rPr>
        <w:t>3</w:t>
      </w:r>
      <w:r w:rsidRPr="001704B6">
        <w:rPr>
          <w:rFonts w:ascii="Times New Roman" w:eastAsia="Lucida Sans Unicode" w:hAnsi="Times New Roman"/>
          <w:sz w:val="24"/>
          <w:szCs w:val="24"/>
        </w:rPr>
        <w:t>/сутки в составе Зоны затопления Бурейской ГЭС». Решением Арбитражного суда Амурской области от 20.03.2018 по делу № А04-10422/2017 требования истца удовлетворены, муниципальный контракт № 23 от 30.10.2006 расторгнут.</w:t>
      </w:r>
    </w:p>
    <w:p w:rsidR="000B66CB" w:rsidRDefault="000B66CB" w:rsidP="000B66CB">
      <w:pPr>
        <w:tabs>
          <w:tab w:val="left" w:pos="709"/>
          <w:tab w:val="left" w:pos="851"/>
        </w:tabs>
        <w:suppressAutoHyphens/>
        <w:spacing w:after="0" w:line="240" w:lineRule="auto"/>
        <w:ind w:firstLine="709"/>
        <w:jc w:val="both"/>
        <w:rPr>
          <w:rFonts w:ascii="Times New Roman" w:eastAsia="Lucida Sans Unicode" w:hAnsi="Times New Roman"/>
          <w:sz w:val="24"/>
          <w:szCs w:val="24"/>
        </w:rPr>
      </w:pPr>
      <w:r>
        <w:rPr>
          <w:rFonts w:ascii="Times New Roman" w:eastAsia="Lucida Sans Unicode" w:hAnsi="Times New Roman"/>
          <w:sz w:val="24"/>
          <w:szCs w:val="24"/>
        </w:rPr>
        <w:t>По данным учета ГКУ Амурской области «Строитель», кроме перечисленных числятся незавершенные строительством объекты:</w:t>
      </w:r>
      <w:r>
        <w:rPr>
          <w:rFonts w:ascii="Times New Roman" w:eastAsia="Lucida Sans Unicode" w:hAnsi="Times New Roman"/>
          <w:color w:val="FF0000"/>
          <w:sz w:val="24"/>
          <w:szCs w:val="24"/>
        </w:rPr>
        <w:t xml:space="preserve"> </w:t>
      </w:r>
      <w:r>
        <w:rPr>
          <w:rFonts w:ascii="Times New Roman" w:eastAsia="Lucida Sans Unicode" w:hAnsi="Times New Roman"/>
          <w:sz w:val="24"/>
          <w:szCs w:val="24"/>
        </w:rPr>
        <w:t xml:space="preserve">с 2007 года – объект «Благоустройство жилого квартала для переселенного населения п. Новобурейский», объем затрат 38193,2 тыс. </w:t>
      </w:r>
      <w:r>
        <w:rPr>
          <w:rFonts w:ascii="Times New Roman" w:eastAsia="Lucida Sans Unicode" w:hAnsi="Times New Roman"/>
          <w:sz w:val="24"/>
          <w:szCs w:val="24"/>
        </w:rPr>
        <w:lastRenderedPageBreak/>
        <w:t xml:space="preserve">рублей, с 2009 года - объект «Реконструкция инженерных сетей п. Новобурейский </w:t>
      </w:r>
      <w:r>
        <w:rPr>
          <w:rFonts w:ascii="Times New Roman" w:eastAsia="Lucida Sans Unicode" w:hAnsi="Times New Roman"/>
          <w:sz w:val="24"/>
          <w:szCs w:val="24"/>
        </w:rPr>
        <w:br/>
        <w:t xml:space="preserve">(2 очередь)»: объем затрат 13926,0 тыс. рублей, техническая готовность объекта – </w:t>
      </w:r>
      <w:r>
        <w:rPr>
          <w:rFonts w:ascii="Times New Roman" w:eastAsia="Lucida Sans Unicode" w:hAnsi="Times New Roman"/>
          <w:sz w:val="24"/>
          <w:szCs w:val="24"/>
        </w:rPr>
        <w:br/>
        <w:t>34,6 процента; с 2010 года - объекты «Инженерная защита территорий п. Новобурейский»: объем затрат 132032,8 тыс. рублей, техническая готовность объекта – 51,4 процента; «Инженерная защита территорий с. Малиновка»: объем затрат 19343,5 тыс. рублей, техническая готовность объекта – 41,4 процента. Финансирование строительства объектов осуществлялось за счет государственных капитальных вложений, выделенных на реализацию Федеральной адресной инвестиционной программы в рамках непрограммной части, федеральных целевых программ «Энергоэффективная экономика на 2002-2005 годы и на период до 2010 года», «Экономическое и социальное развитие Дальнего Востока и Забайкалья на период до 2013 года». Ввиду отсутствия финансирования стро</w:t>
      </w:r>
      <w:r w:rsidR="008D63A5">
        <w:rPr>
          <w:rFonts w:ascii="Times New Roman" w:eastAsia="Lucida Sans Unicode" w:hAnsi="Times New Roman"/>
          <w:sz w:val="24"/>
          <w:szCs w:val="24"/>
        </w:rPr>
        <w:t>ительство объектов остановлено.</w:t>
      </w:r>
    </w:p>
    <w:p w:rsidR="000B66CB" w:rsidRDefault="000B66CB" w:rsidP="000B66CB">
      <w:pPr>
        <w:widowControl w:val="0"/>
        <w:autoSpaceDE w:val="0"/>
        <w:autoSpaceDN w:val="0"/>
        <w:adjustRightInd w:val="0"/>
        <w:spacing w:after="0" w:line="240" w:lineRule="auto"/>
        <w:ind w:firstLine="709"/>
        <w:jc w:val="both"/>
        <w:rPr>
          <w:rFonts w:ascii="Times New Roman" w:hAnsi="Times New Roman"/>
          <w:sz w:val="24"/>
          <w:szCs w:val="24"/>
        </w:rPr>
      </w:pPr>
      <w:r w:rsidRPr="00B235CF">
        <w:rPr>
          <w:rFonts w:ascii="Times New Roman" w:hAnsi="Times New Roman" w:cs="Times New Roman"/>
          <w:sz w:val="24"/>
          <w:szCs w:val="24"/>
        </w:rPr>
        <w:t xml:space="preserve">Согласно </w:t>
      </w:r>
      <w:hyperlink r:id="rId45" w:history="1">
        <w:r w:rsidRPr="000B66CB">
          <w:rPr>
            <w:rStyle w:val="ac"/>
            <w:rFonts w:ascii="Times New Roman" w:hAnsi="Times New Roman" w:cs="Times New Roman"/>
            <w:color w:val="auto"/>
            <w:sz w:val="24"/>
            <w:szCs w:val="24"/>
            <w:u w:val="none"/>
          </w:rPr>
          <w:t>ч. 4 статьи 52</w:t>
        </w:r>
      </w:hyperlink>
      <w:r w:rsidRPr="000B66CB">
        <w:rPr>
          <w:rFonts w:ascii="Times New Roman" w:hAnsi="Times New Roman" w:cs="Times New Roman"/>
          <w:sz w:val="24"/>
          <w:szCs w:val="24"/>
        </w:rPr>
        <w:t xml:space="preserve"> </w:t>
      </w:r>
      <w:r w:rsidRPr="00B235CF">
        <w:rPr>
          <w:rFonts w:ascii="Times New Roman" w:hAnsi="Times New Roman" w:cs="Times New Roman"/>
          <w:sz w:val="24"/>
          <w:szCs w:val="24"/>
        </w:rPr>
        <w:t xml:space="preserve">Градостроительного кодекса Российской Федерации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В соответствии со </w:t>
      </w:r>
      <w:hyperlink r:id="rId46" w:history="1">
        <w:r w:rsidRPr="000B66CB">
          <w:rPr>
            <w:rStyle w:val="ac"/>
            <w:rFonts w:ascii="Times New Roman" w:hAnsi="Times New Roman" w:cs="Times New Roman"/>
            <w:color w:val="auto"/>
            <w:sz w:val="24"/>
            <w:szCs w:val="24"/>
            <w:u w:val="none"/>
          </w:rPr>
          <w:t>статьей 752</w:t>
        </w:r>
      </w:hyperlink>
      <w:r w:rsidRPr="00B235CF">
        <w:rPr>
          <w:rFonts w:ascii="Times New Roman" w:hAnsi="Times New Roman" w:cs="Times New Roman"/>
          <w:sz w:val="24"/>
          <w:szCs w:val="24"/>
        </w:rPr>
        <w:t xml:space="preserve"> Гражданского кодекса Российской Федерации,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возместить расходы, вызванные необходимостью прекращения</w:t>
      </w:r>
      <w:r w:rsidRPr="00B235CF">
        <w:rPr>
          <w:rFonts w:ascii="Times New Roman" w:hAnsi="Times New Roman"/>
          <w:sz w:val="24"/>
          <w:szCs w:val="24"/>
        </w:rPr>
        <w:t xml:space="preserve"> </w:t>
      </w:r>
      <w:r>
        <w:rPr>
          <w:rFonts w:ascii="Times New Roman" w:hAnsi="Times New Roman"/>
          <w:sz w:val="24"/>
          <w:szCs w:val="24"/>
        </w:rPr>
        <w:t xml:space="preserve">работ и консервацией строительства, </w:t>
      </w:r>
      <w:r>
        <w:rPr>
          <w:rFonts w:ascii="Times New Roman" w:hAnsi="Times New Roman"/>
          <w:sz w:val="24"/>
          <w:szCs w:val="24"/>
        </w:rPr>
        <w:br/>
        <w:t>с зачетом выгод, которые подрядчик получил или мог получить вследствие прекращения работ. Таким образом, при отсутствии решений о выделении средств на финансирование начатых строительством объектов возникают риски, связанные с дополнительными расходами бюджетных средств.</w:t>
      </w:r>
    </w:p>
    <w:p w:rsidR="000B66CB" w:rsidRDefault="000B66CB" w:rsidP="000B66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Решений о консервации незавершенных строительством </w:t>
      </w:r>
      <w:r w:rsidRPr="001704B6">
        <w:rPr>
          <w:rFonts w:ascii="Times New Roman" w:hAnsi="Times New Roman"/>
          <w:sz w:val="24"/>
          <w:szCs w:val="24"/>
        </w:rPr>
        <w:t>объект</w:t>
      </w:r>
      <w:r>
        <w:rPr>
          <w:rFonts w:ascii="Times New Roman" w:hAnsi="Times New Roman"/>
          <w:sz w:val="24"/>
          <w:szCs w:val="24"/>
        </w:rPr>
        <w:t>ов, финансирование строительства которых прекращено, не принималось.</w:t>
      </w:r>
    </w:p>
    <w:p w:rsidR="000B66CB" w:rsidRPr="00B235CF" w:rsidRDefault="000B66CB" w:rsidP="000B66CB">
      <w:pPr>
        <w:tabs>
          <w:tab w:val="left" w:pos="709"/>
          <w:tab w:val="left" w:pos="851"/>
        </w:tabs>
        <w:suppressAutoHyphens/>
        <w:spacing w:after="0" w:line="100" w:lineRule="atLeast"/>
        <w:ind w:firstLine="709"/>
        <w:jc w:val="both"/>
        <w:rPr>
          <w:rFonts w:eastAsia="Lucida Sans Unicode"/>
        </w:rPr>
      </w:pPr>
      <w:r w:rsidRPr="00B235CF">
        <w:rPr>
          <w:rFonts w:ascii="Times New Roman" w:eastAsia="Lucida Sans Unicode" w:hAnsi="Times New Roman"/>
          <w:sz w:val="24"/>
          <w:szCs w:val="24"/>
        </w:rPr>
        <w:t xml:space="preserve">Объем расходов по объектам незавершенного строительства, </w:t>
      </w:r>
      <w:r w:rsidRPr="00B235CF">
        <w:rPr>
          <w:rFonts w:ascii="Times New Roman" w:hAnsi="Times New Roman"/>
          <w:sz w:val="24"/>
          <w:szCs w:val="24"/>
        </w:rPr>
        <w:t xml:space="preserve">строительство которых не ведется в связи с прекращением финансирования, </w:t>
      </w:r>
      <w:r w:rsidRPr="00B235CF">
        <w:rPr>
          <w:rFonts w:ascii="Times New Roman" w:eastAsia="Lucida Sans Unicode" w:hAnsi="Times New Roman"/>
          <w:sz w:val="24"/>
          <w:szCs w:val="24"/>
        </w:rPr>
        <w:t xml:space="preserve">составил 935530,5 тыс. рублей </w:t>
      </w:r>
      <w:r>
        <w:rPr>
          <w:rFonts w:ascii="Times New Roman" w:eastAsia="Lucida Sans Unicode" w:hAnsi="Times New Roman"/>
          <w:sz w:val="24"/>
          <w:szCs w:val="24"/>
        </w:rPr>
        <w:br/>
      </w:r>
      <w:r w:rsidRPr="00B235CF">
        <w:rPr>
          <w:rFonts w:ascii="Times New Roman" w:eastAsia="Lucida Sans Unicode" w:hAnsi="Times New Roman"/>
          <w:sz w:val="24"/>
          <w:szCs w:val="24"/>
        </w:rPr>
        <w:t>(с учетом стоимости переданного на ответственное хранение оборудования). Финансирование расходов на строительство объектов в рамках расходов областного бюджета на 2018 год и плановый период 2019 и 2020 годов не предусмотрено. Отсутствие решений о выделении средств на завершение строительства объектов не обеспечивает соблюдение принципа эффективности использования бюджетных средств, предусмотренного статьей 34 Бюджетного кодекса Российской Федерации, не позволяет обеспечить достижение заданных результатов и влечет значительные риски неэффективного расходования бюджетных средств, использованных на оплату работ по незавершенным строительством объектам.</w:t>
      </w:r>
    </w:p>
    <w:p w:rsidR="000B66CB" w:rsidRDefault="000B66CB" w:rsidP="000B66CB">
      <w:pPr>
        <w:tabs>
          <w:tab w:val="left" w:pos="851"/>
        </w:tabs>
        <w:spacing w:after="0" w:line="240" w:lineRule="auto"/>
        <w:ind w:firstLine="709"/>
        <w:jc w:val="both"/>
        <w:rPr>
          <w:rFonts w:ascii="Times New Roman" w:hAnsi="Times New Roman"/>
          <w:sz w:val="24"/>
          <w:szCs w:val="24"/>
        </w:rPr>
      </w:pPr>
    </w:p>
    <w:p w:rsidR="009C45F8" w:rsidRPr="001A299F" w:rsidRDefault="009C45F8" w:rsidP="009C45F8">
      <w:pPr>
        <w:widowControl w:val="0"/>
        <w:autoSpaceDE w:val="0"/>
        <w:autoSpaceDN w:val="0"/>
        <w:adjustRightInd w:val="0"/>
        <w:spacing w:after="0"/>
        <w:jc w:val="center"/>
        <w:rPr>
          <w:rFonts w:ascii="Times New Roman" w:eastAsia="Times New Roman" w:hAnsi="Times New Roman" w:cs="Times New Roman"/>
          <w:b/>
          <w:iCs/>
          <w:spacing w:val="-3"/>
          <w:sz w:val="24"/>
          <w:szCs w:val="20"/>
          <w:lang w:eastAsia="ru-RU"/>
        </w:rPr>
      </w:pPr>
      <w:r w:rsidRPr="001A299F">
        <w:rPr>
          <w:rFonts w:ascii="Times New Roman" w:eastAsia="Times New Roman" w:hAnsi="Times New Roman" w:cs="Times New Roman"/>
          <w:b/>
          <w:iCs/>
          <w:spacing w:val="-3"/>
          <w:sz w:val="24"/>
          <w:szCs w:val="20"/>
          <w:lang w:eastAsia="ru-RU"/>
        </w:rPr>
        <w:t>6. Анализ состояния государственного долга Амурской области за 201</w:t>
      </w:r>
      <w:r>
        <w:rPr>
          <w:rFonts w:ascii="Times New Roman" w:eastAsia="Times New Roman" w:hAnsi="Times New Roman" w:cs="Times New Roman"/>
          <w:b/>
          <w:iCs/>
          <w:spacing w:val="-3"/>
          <w:sz w:val="24"/>
          <w:szCs w:val="20"/>
          <w:lang w:eastAsia="ru-RU"/>
        </w:rPr>
        <w:t>7</w:t>
      </w:r>
      <w:r w:rsidRPr="001A299F">
        <w:rPr>
          <w:rFonts w:ascii="Times New Roman" w:eastAsia="Times New Roman" w:hAnsi="Times New Roman" w:cs="Times New Roman"/>
          <w:b/>
          <w:iCs/>
          <w:spacing w:val="-3"/>
          <w:sz w:val="24"/>
          <w:szCs w:val="20"/>
          <w:lang w:eastAsia="ru-RU"/>
        </w:rPr>
        <w:t xml:space="preserve"> год</w:t>
      </w:r>
    </w:p>
    <w:p w:rsidR="009C45F8" w:rsidRPr="0059526F" w:rsidRDefault="009C45F8" w:rsidP="009C45F8">
      <w:pPr>
        <w:pStyle w:val="ConsPlusNormal"/>
        <w:ind w:firstLine="708"/>
        <w:jc w:val="both"/>
        <w:rPr>
          <w:rFonts w:ascii="Times New Roman" w:hAnsi="Times New Roman" w:cs="Times New Roman"/>
          <w:sz w:val="24"/>
          <w:szCs w:val="24"/>
        </w:rPr>
      </w:pPr>
      <w:r w:rsidRPr="0059526F">
        <w:rPr>
          <w:rFonts w:ascii="Times New Roman" w:hAnsi="Times New Roman" w:cs="Times New Roman"/>
          <w:iCs/>
          <w:spacing w:val="-3"/>
          <w:sz w:val="24"/>
          <w:szCs w:val="24"/>
        </w:rPr>
        <w:t xml:space="preserve">Верхний предел объема государственного долга Амурской области на 1 января </w:t>
      </w:r>
      <w:r>
        <w:rPr>
          <w:rFonts w:ascii="Times New Roman" w:hAnsi="Times New Roman" w:cs="Times New Roman"/>
          <w:iCs/>
          <w:spacing w:val="-3"/>
          <w:sz w:val="24"/>
          <w:szCs w:val="24"/>
        </w:rPr>
        <w:br/>
      </w:r>
      <w:r w:rsidRPr="0059526F">
        <w:rPr>
          <w:rFonts w:ascii="Times New Roman" w:hAnsi="Times New Roman" w:cs="Times New Roman"/>
          <w:iCs/>
          <w:spacing w:val="-3"/>
          <w:sz w:val="24"/>
          <w:szCs w:val="24"/>
        </w:rPr>
        <w:t>2018 года установлен в сумме 27725026,2</w:t>
      </w:r>
      <w:r w:rsidRPr="0059526F">
        <w:rPr>
          <w:rFonts w:ascii="Times New Roman" w:hAnsi="Times New Roman" w:cs="Times New Roman"/>
          <w:b/>
          <w:i/>
          <w:iCs/>
          <w:spacing w:val="-3"/>
          <w:sz w:val="24"/>
          <w:szCs w:val="24"/>
        </w:rPr>
        <w:t xml:space="preserve"> </w:t>
      </w:r>
      <w:r w:rsidRPr="0059526F">
        <w:rPr>
          <w:rFonts w:ascii="Times New Roman" w:hAnsi="Times New Roman" w:cs="Times New Roman"/>
          <w:iCs/>
          <w:spacing w:val="-3"/>
          <w:sz w:val="24"/>
          <w:szCs w:val="24"/>
        </w:rPr>
        <w:t>тыс. рублей, в том числе по государственным гарантиям, в сумме 0,0 тыс. рублей. П</w:t>
      </w:r>
      <w:r w:rsidRPr="0059526F">
        <w:rPr>
          <w:rFonts w:ascii="Times New Roman" w:hAnsi="Times New Roman" w:cs="Times New Roman"/>
          <w:sz w:val="24"/>
          <w:szCs w:val="24"/>
        </w:rPr>
        <w:t>редельный объем государственного долга Амурской области на 2017 год установлен в сумме 34630917,7 тыс. рублей (</w:t>
      </w:r>
      <w:r w:rsidRPr="0059526F">
        <w:rPr>
          <w:rFonts w:ascii="Times New Roman" w:hAnsi="Times New Roman" w:cs="Times New Roman"/>
          <w:iCs/>
          <w:spacing w:val="-3"/>
          <w:sz w:val="24"/>
          <w:szCs w:val="24"/>
        </w:rPr>
        <w:t>статья 7 Закона Амурской области от 20.12.2016</w:t>
      </w:r>
      <w:r>
        <w:rPr>
          <w:rFonts w:ascii="Times New Roman" w:hAnsi="Times New Roman" w:cs="Times New Roman"/>
          <w:iCs/>
          <w:spacing w:val="-3"/>
          <w:sz w:val="24"/>
          <w:szCs w:val="24"/>
        </w:rPr>
        <w:t xml:space="preserve"> </w:t>
      </w:r>
      <w:r w:rsidRPr="0059526F">
        <w:rPr>
          <w:rFonts w:ascii="Times New Roman" w:hAnsi="Times New Roman" w:cs="Times New Roman"/>
          <w:iCs/>
          <w:spacing w:val="-3"/>
          <w:sz w:val="24"/>
          <w:szCs w:val="24"/>
        </w:rPr>
        <w:t xml:space="preserve">№ 27-ОЗ «Об областном бюджете на 2017 год и плановый период 2018 и 2019 годов» (в редакции Закона Амурской области от 21.12.2017 № 161-ОЗ)). </w:t>
      </w:r>
    </w:p>
    <w:p w:rsidR="009C45F8" w:rsidRPr="000B66CB"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Динамика объема государственного долга Амурской области в разрезе видов долговых обязательств за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представлена на </w:t>
      </w:r>
      <w:r w:rsidRPr="000B66CB">
        <w:rPr>
          <w:rFonts w:ascii="Times New Roman" w:eastAsia="Times New Roman" w:hAnsi="Times New Roman" w:cs="Times New Roman"/>
          <w:sz w:val="24"/>
          <w:szCs w:val="24"/>
          <w:lang w:eastAsia="ru-RU"/>
        </w:rPr>
        <w:t>рисунке 3</w:t>
      </w:r>
      <w:r w:rsidR="000B66CB" w:rsidRPr="000B66CB">
        <w:rPr>
          <w:rFonts w:ascii="Times New Roman" w:eastAsia="Times New Roman" w:hAnsi="Times New Roman" w:cs="Times New Roman"/>
          <w:sz w:val="24"/>
          <w:szCs w:val="24"/>
          <w:lang w:eastAsia="ru-RU"/>
        </w:rPr>
        <w:t>3</w:t>
      </w:r>
      <w:r w:rsidRPr="000B66CB">
        <w:rPr>
          <w:rFonts w:ascii="Times New Roman" w:eastAsia="Times New Roman" w:hAnsi="Times New Roman" w:cs="Times New Roman"/>
          <w:sz w:val="24"/>
          <w:szCs w:val="24"/>
          <w:lang w:eastAsia="ru-RU"/>
        </w:rPr>
        <w:t>.</w:t>
      </w:r>
    </w:p>
    <w:p w:rsidR="00E5269A" w:rsidRPr="00325558" w:rsidRDefault="00E5269A" w:rsidP="00E5269A">
      <w:pPr>
        <w:shd w:val="clear" w:color="auto" w:fill="FFFFFF"/>
        <w:spacing w:after="0" w:line="240" w:lineRule="auto"/>
        <w:ind w:firstLine="709"/>
        <w:jc w:val="both"/>
        <w:rPr>
          <w:rFonts w:ascii="Times New Roman" w:hAnsi="Times New Roman" w:cs="Times New Roman"/>
          <w:iCs/>
          <w:spacing w:val="-3"/>
          <w:sz w:val="24"/>
          <w:szCs w:val="24"/>
        </w:rPr>
      </w:pPr>
      <w:r>
        <w:rPr>
          <w:rFonts w:ascii="Times New Roman" w:hAnsi="Times New Roman" w:cs="Times New Roman"/>
          <w:iCs/>
          <w:spacing w:val="-3"/>
          <w:sz w:val="24"/>
        </w:rPr>
        <w:t>О</w:t>
      </w:r>
      <w:r w:rsidRPr="00325558">
        <w:rPr>
          <w:rFonts w:ascii="Times New Roman" w:hAnsi="Times New Roman" w:cs="Times New Roman"/>
          <w:iCs/>
          <w:spacing w:val="-3"/>
          <w:sz w:val="24"/>
        </w:rPr>
        <w:t xml:space="preserve">бъем государственного долга Амурской области на 1 января 2018 года </w:t>
      </w:r>
      <w:r w:rsidRPr="001A299F">
        <w:rPr>
          <w:rFonts w:ascii="Times New Roman" w:hAnsi="Times New Roman" w:cs="Times New Roman"/>
          <w:iCs/>
          <w:spacing w:val="-3"/>
          <w:sz w:val="24"/>
        </w:rPr>
        <w:t>согласно данным</w:t>
      </w:r>
      <w:r w:rsidRPr="001A299F">
        <w:rPr>
          <w:rFonts w:ascii="Times New Roman" w:hAnsi="Times New Roman" w:cs="Times New Roman"/>
          <w:iCs/>
          <w:spacing w:val="-3"/>
          <w:sz w:val="24"/>
          <w:szCs w:val="24"/>
        </w:rPr>
        <w:t xml:space="preserve"> государственной долговой книги Амурской области </w:t>
      </w:r>
      <w:r w:rsidRPr="00325558">
        <w:rPr>
          <w:rFonts w:ascii="Times New Roman" w:hAnsi="Times New Roman" w:cs="Times New Roman"/>
          <w:iCs/>
          <w:spacing w:val="-3"/>
          <w:sz w:val="24"/>
          <w:szCs w:val="24"/>
        </w:rPr>
        <w:t>составил 27665834,9 тыс. рублей, в том числе:</w:t>
      </w:r>
    </w:p>
    <w:p w:rsidR="00E5269A" w:rsidRPr="00325558" w:rsidRDefault="00E5269A" w:rsidP="00E5269A">
      <w:pPr>
        <w:shd w:val="clear" w:color="auto" w:fill="FFFFFF"/>
        <w:spacing w:after="0" w:line="240" w:lineRule="auto"/>
        <w:ind w:firstLine="709"/>
        <w:jc w:val="both"/>
        <w:rPr>
          <w:rFonts w:ascii="Times New Roman" w:hAnsi="Times New Roman" w:cs="Times New Roman"/>
          <w:iCs/>
          <w:spacing w:val="-3"/>
          <w:sz w:val="24"/>
          <w:szCs w:val="24"/>
        </w:rPr>
      </w:pPr>
      <w:r w:rsidRPr="00325558">
        <w:rPr>
          <w:rFonts w:ascii="Times New Roman" w:hAnsi="Times New Roman" w:cs="Times New Roman"/>
          <w:iCs/>
          <w:spacing w:val="-3"/>
          <w:sz w:val="24"/>
          <w:szCs w:val="24"/>
        </w:rPr>
        <w:t>-задолженность Министерству финансов Российской Федерации по  бюджетным кредитам</w:t>
      </w:r>
      <w:r w:rsidRPr="00325558">
        <w:rPr>
          <w:rFonts w:ascii="Times New Roman" w:hAnsi="Times New Roman" w:cs="Times New Roman"/>
          <w:b/>
          <w:iCs/>
          <w:spacing w:val="-3"/>
          <w:sz w:val="24"/>
          <w:szCs w:val="24"/>
        </w:rPr>
        <w:t xml:space="preserve">- </w:t>
      </w:r>
      <w:r w:rsidRPr="00325558">
        <w:rPr>
          <w:rFonts w:ascii="Times New Roman" w:hAnsi="Times New Roman" w:cs="Times New Roman"/>
          <w:iCs/>
          <w:spacing w:val="-3"/>
          <w:sz w:val="24"/>
          <w:szCs w:val="24"/>
        </w:rPr>
        <w:t>18606739,1 тыс. рублей;</w:t>
      </w:r>
    </w:p>
    <w:p w:rsidR="00E5269A" w:rsidRPr="00325558" w:rsidRDefault="00E5269A" w:rsidP="00E5269A">
      <w:pPr>
        <w:shd w:val="clear" w:color="auto" w:fill="FFFFFF"/>
        <w:spacing w:after="0" w:line="240" w:lineRule="auto"/>
        <w:ind w:firstLine="709"/>
        <w:jc w:val="both"/>
        <w:rPr>
          <w:rFonts w:ascii="Times New Roman" w:hAnsi="Times New Roman" w:cs="Times New Roman"/>
          <w:iCs/>
          <w:spacing w:val="-3"/>
          <w:sz w:val="24"/>
          <w:szCs w:val="24"/>
        </w:rPr>
      </w:pPr>
      <w:r w:rsidRPr="00325558">
        <w:rPr>
          <w:rFonts w:ascii="Times New Roman" w:hAnsi="Times New Roman" w:cs="Times New Roman"/>
          <w:iCs/>
          <w:spacing w:val="-3"/>
          <w:sz w:val="24"/>
          <w:szCs w:val="24"/>
        </w:rPr>
        <w:t>-задолженность по кредитам, полученным в коммерческих банках – 9059095,8</w:t>
      </w:r>
      <w:r w:rsidRPr="00325558">
        <w:rPr>
          <w:rFonts w:ascii="Times New Roman" w:hAnsi="Times New Roman" w:cs="Times New Roman"/>
          <w:b/>
          <w:i/>
          <w:iCs/>
          <w:spacing w:val="-3"/>
          <w:sz w:val="24"/>
          <w:szCs w:val="24"/>
        </w:rPr>
        <w:t xml:space="preserve"> </w:t>
      </w:r>
      <w:r w:rsidRPr="00325558">
        <w:rPr>
          <w:rFonts w:ascii="Times New Roman" w:hAnsi="Times New Roman" w:cs="Times New Roman"/>
          <w:iCs/>
          <w:spacing w:val="-3"/>
          <w:sz w:val="24"/>
          <w:szCs w:val="24"/>
        </w:rPr>
        <w:t xml:space="preserve"> тыс. рублей.</w:t>
      </w:r>
    </w:p>
    <w:p w:rsidR="00E5269A" w:rsidRPr="00783FBA" w:rsidRDefault="00E5269A" w:rsidP="00E526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bCs/>
          <w:sz w:val="24"/>
          <w:szCs w:val="24"/>
          <w:lang w:eastAsia="ru-RU"/>
        </w:rPr>
        <w:lastRenderedPageBreak/>
        <w:t>Анализ изменения состояния и структуры государственного долга Амурской области за 201</w:t>
      </w:r>
      <w:r>
        <w:rPr>
          <w:rFonts w:ascii="Times New Roman" w:eastAsia="Times New Roman" w:hAnsi="Times New Roman" w:cs="Times New Roman"/>
          <w:bCs/>
          <w:sz w:val="24"/>
          <w:szCs w:val="24"/>
          <w:lang w:eastAsia="ru-RU"/>
        </w:rPr>
        <w:t>7</w:t>
      </w:r>
      <w:r w:rsidRPr="001A299F">
        <w:rPr>
          <w:rFonts w:ascii="Times New Roman" w:eastAsia="Times New Roman" w:hAnsi="Times New Roman" w:cs="Times New Roman"/>
          <w:bCs/>
          <w:sz w:val="24"/>
          <w:szCs w:val="24"/>
          <w:lang w:eastAsia="ru-RU"/>
        </w:rPr>
        <w:t xml:space="preserve"> год по данным долговой книги </w:t>
      </w:r>
      <w:r w:rsidRPr="001A299F">
        <w:rPr>
          <w:rFonts w:ascii="Times New Roman" w:eastAsia="Times New Roman" w:hAnsi="Times New Roman" w:cs="Times New Roman"/>
          <w:sz w:val="24"/>
          <w:szCs w:val="24"/>
          <w:lang w:eastAsia="ru-RU"/>
        </w:rPr>
        <w:t xml:space="preserve">приведен </w:t>
      </w:r>
      <w:r w:rsidRPr="00580719">
        <w:rPr>
          <w:rFonts w:ascii="Times New Roman" w:eastAsia="Times New Roman" w:hAnsi="Times New Roman" w:cs="Times New Roman"/>
          <w:sz w:val="24"/>
          <w:szCs w:val="24"/>
          <w:lang w:eastAsia="ru-RU"/>
        </w:rPr>
        <w:t xml:space="preserve">в </w:t>
      </w:r>
      <w:r w:rsidRPr="00783FBA">
        <w:rPr>
          <w:rFonts w:ascii="Times New Roman" w:eastAsia="Times New Roman" w:hAnsi="Times New Roman" w:cs="Times New Roman"/>
          <w:sz w:val="24"/>
          <w:szCs w:val="24"/>
          <w:lang w:eastAsia="ru-RU"/>
        </w:rPr>
        <w:t>Приложении 2.</w:t>
      </w:r>
    </w:p>
    <w:p w:rsidR="009C45F8" w:rsidRPr="0063115E"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99F">
        <w:rPr>
          <w:rFonts w:ascii="Times New Roman" w:eastAsia="Times New Roman" w:hAnsi="Times New Roman" w:cs="Times New Roman"/>
          <w:noProof/>
          <w:sz w:val="20"/>
          <w:szCs w:val="20"/>
          <w:lang w:eastAsia="ru-RU"/>
        </w:rPr>
        <w:drawing>
          <wp:inline distT="0" distB="0" distL="0" distR="0" wp14:anchorId="752A02F4" wp14:editId="67C03DF4">
            <wp:extent cx="6210300" cy="3190875"/>
            <wp:effectExtent l="0" t="0" r="0" b="0"/>
            <wp:docPr id="38"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C45F8" w:rsidRPr="001A299F" w:rsidRDefault="009C45F8" w:rsidP="009C45F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6CB">
        <w:rPr>
          <w:rFonts w:ascii="Times New Roman" w:eastAsia="Times New Roman" w:hAnsi="Times New Roman" w:cs="Times New Roman"/>
          <w:b/>
          <w:sz w:val="24"/>
          <w:szCs w:val="24"/>
          <w:lang w:eastAsia="ru-RU"/>
        </w:rPr>
        <w:t>Рис. 3</w:t>
      </w:r>
      <w:r w:rsidR="000B66CB">
        <w:rPr>
          <w:rFonts w:ascii="Times New Roman" w:eastAsia="Times New Roman" w:hAnsi="Times New Roman" w:cs="Times New Roman"/>
          <w:b/>
          <w:sz w:val="24"/>
          <w:szCs w:val="24"/>
          <w:lang w:eastAsia="ru-RU"/>
        </w:rPr>
        <w:t>3</w:t>
      </w:r>
      <w:r w:rsidRPr="000B66CB">
        <w:rPr>
          <w:rFonts w:ascii="Times New Roman" w:eastAsia="Times New Roman" w:hAnsi="Times New Roman" w:cs="Times New Roman"/>
          <w:b/>
          <w:sz w:val="24"/>
          <w:szCs w:val="24"/>
          <w:lang w:eastAsia="ru-RU"/>
        </w:rPr>
        <w:t xml:space="preserve">- Динамика </w:t>
      </w:r>
      <w:r w:rsidRPr="001A299F">
        <w:rPr>
          <w:rFonts w:ascii="Times New Roman" w:eastAsia="Times New Roman" w:hAnsi="Times New Roman" w:cs="Times New Roman"/>
          <w:b/>
          <w:sz w:val="24"/>
          <w:szCs w:val="24"/>
          <w:lang w:eastAsia="ru-RU"/>
        </w:rPr>
        <w:t>государственного долга Амурской области</w:t>
      </w:r>
    </w:p>
    <w:p w:rsidR="009C45F8" w:rsidRPr="001A299F" w:rsidRDefault="009C45F8" w:rsidP="009C45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за 201</w:t>
      </w:r>
      <w:r>
        <w:rPr>
          <w:rFonts w:ascii="Times New Roman" w:eastAsia="Times New Roman" w:hAnsi="Times New Roman" w:cs="Times New Roman"/>
          <w:b/>
          <w:sz w:val="24"/>
          <w:szCs w:val="24"/>
          <w:lang w:eastAsia="ru-RU"/>
        </w:rPr>
        <w:t>2</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годы, млн. руб.</w:t>
      </w:r>
    </w:p>
    <w:p w:rsidR="009C45F8" w:rsidRDefault="009C45F8" w:rsidP="009C45F8">
      <w:pPr>
        <w:shd w:val="clear" w:color="auto" w:fill="FFFFFF"/>
        <w:spacing w:after="0" w:line="240" w:lineRule="auto"/>
        <w:ind w:firstLine="709"/>
        <w:jc w:val="both"/>
        <w:rPr>
          <w:rFonts w:ascii="Times New Roman" w:hAnsi="Times New Roman" w:cs="Times New Roman"/>
          <w:iCs/>
          <w:spacing w:val="-3"/>
          <w:sz w:val="24"/>
        </w:rPr>
      </w:pPr>
    </w:p>
    <w:p w:rsidR="009C45F8" w:rsidRPr="00EC7BFF" w:rsidRDefault="009C45F8" w:rsidP="009C45F8">
      <w:pPr>
        <w:spacing w:after="0" w:line="240" w:lineRule="auto"/>
        <w:ind w:firstLine="708"/>
        <w:jc w:val="both"/>
        <w:rPr>
          <w:rFonts w:ascii="Times New Roman" w:hAnsi="Times New Roman" w:cs="Times New Roman"/>
          <w:sz w:val="24"/>
          <w:szCs w:val="24"/>
        </w:rPr>
      </w:pPr>
      <w:r w:rsidRPr="00EC7BFF">
        <w:rPr>
          <w:rFonts w:ascii="Times New Roman" w:hAnsi="Times New Roman" w:cs="Times New Roman"/>
          <w:sz w:val="24"/>
          <w:szCs w:val="24"/>
        </w:rPr>
        <w:t>Объем государственного</w:t>
      </w:r>
      <w:r w:rsidRPr="00EC7BFF">
        <w:rPr>
          <w:rFonts w:ascii="Times New Roman" w:hAnsi="Times New Roman" w:cs="Times New Roman"/>
          <w:color w:val="FF0000"/>
          <w:sz w:val="24"/>
          <w:szCs w:val="24"/>
        </w:rPr>
        <w:t xml:space="preserve"> </w:t>
      </w:r>
      <w:r w:rsidRPr="00EC7BFF">
        <w:rPr>
          <w:rFonts w:ascii="Times New Roman" w:hAnsi="Times New Roman" w:cs="Times New Roman"/>
          <w:sz w:val="24"/>
          <w:szCs w:val="24"/>
        </w:rPr>
        <w:t xml:space="preserve">долга по сравнению с началом года уменьшился на </w:t>
      </w:r>
      <w:r w:rsidRPr="00EC7BFF">
        <w:rPr>
          <w:rFonts w:ascii="Times New Roman" w:hAnsi="Times New Roman" w:cs="Times New Roman"/>
          <w:sz w:val="24"/>
          <w:szCs w:val="24"/>
        </w:rPr>
        <w:br/>
        <w:t xml:space="preserve">2936869,1 тыс. рублей, или 9,6 процента и составил 27665834,9 тыс. рублей, или </w:t>
      </w:r>
      <w:r w:rsidRPr="00EC7BFF">
        <w:rPr>
          <w:rFonts w:ascii="Times New Roman" w:hAnsi="Times New Roman" w:cs="Times New Roman"/>
          <w:sz w:val="24"/>
          <w:szCs w:val="24"/>
        </w:rPr>
        <w:br/>
        <w:t xml:space="preserve">72,5 процента к сумме фактически полученных доходов областного бюджета без учета безвозмездных поступлений, что не превышает ограничений, установленных статьей </w:t>
      </w:r>
      <w:r w:rsidR="00783FBA">
        <w:rPr>
          <w:rFonts w:ascii="Times New Roman" w:hAnsi="Times New Roman" w:cs="Times New Roman"/>
          <w:sz w:val="24"/>
          <w:szCs w:val="24"/>
        </w:rPr>
        <w:br/>
      </w:r>
      <w:r w:rsidRPr="00EC7BFF">
        <w:rPr>
          <w:rFonts w:ascii="Times New Roman" w:hAnsi="Times New Roman" w:cs="Times New Roman"/>
          <w:sz w:val="24"/>
          <w:szCs w:val="24"/>
        </w:rPr>
        <w:t xml:space="preserve">107 Бюджетного кодекса Российской Федерации. Долговые обязательства областного бюджета составили 99,8 процента верхнего предела государственного долга области, </w:t>
      </w:r>
      <w:r w:rsidRPr="00EC7BFF">
        <w:rPr>
          <w:rFonts w:ascii="Times New Roman" w:hAnsi="Times New Roman" w:cs="Times New Roman"/>
          <w:sz w:val="24"/>
          <w:szCs w:val="24"/>
        </w:rPr>
        <w:br/>
        <w:t>79,9 процента предельного объема государст</w:t>
      </w:r>
      <w:r w:rsidR="00E5269A">
        <w:rPr>
          <w:rFonts w:ascii="Times New Roman" w:hAnsi="Times New Roman" w:cs="Times New Roman"/>
          <w:sz w:val="24"/>
          <w:szCs w:val="24"/>
        </w:rPr>
        <w:t>венного долга Амурской области.</w:t>
      </w:r>
    </w:p>
    <w:p w:rsidR="00783FBA" w:rsidRDefault="009C45F8" w:rsidP="009C45F8">
      <w:pPr>
        <w:shd w:val="clear" w:color="auto" w:fill="FFFFFF"/>
        <w:spacing w:after="0" w:line="240" w:lineRule="auto"/>
        <w:ind w:firstLine="709"/>
        <w:jc w:val="both"/>
        <w:rPr>
          <w:rFonts w:ascii="Times New Roman" w:hAnsi="Times New Roman" w:cs="Times New Roman"/>
          <w:iCs/>
          <w:spacing w:val="-3"/>
          <w:sz w:val="24"/>
          <w:szCs w:val="24"/>
        </w:rPr>
      </w:pPr>
      <w:r w:rsidRPr="00541A09">
        <w:rPr>
          <w:rFonts w:ascii="Times New Roman" w:hAnsi="Times New Roman" w:cs="Times New Roman"/>
          <w:sz w:val="24"/>
          <w:szCs w:val="24"/>
        </w:rPr>
        <w:t xml:space="preserve">Следует отметить, что </w:t>
      </w:r>
      <w:r>
        <w:rPr>
          <w:rFonts w:ascii="Times New Roman" w:hAnsi="Times New Roman" w:cs="Times New Roman"/>
          <w:sz w:val="24"/>
          <w:szCs w:val="24"/>
        </w:rPr>
        <w:t xml:space="preserve">в </w:t>
      </w:r>
      <w:r w:rsidRPr="001A299F">
        <w:rPr>
          <w:rFonts w:ascii="Times New Roman" w:hAnsi="Times New Roman" w:cs="Times New Roman"/>
          <w:sz w:val="24"/>
          <w:szCs w:val="24"/>
        </w:rPr>
        <w:t>201</w:t>
      </w:r>
      <w:r>
        <w:rPr>
          <w:rFonts w:ascii="Times New Roman" w:hAnsi="Times New Roman" w:cs="Times New Roman"/>
          <w:sz w:val="24"/>
          <w:szCs w:val="24"/>
        </w:rPr>
        <w:t>3</w:t>
      </w:r>
      <w:r w:rsidRPr="001A299F">
        <w:rPr>
          <w:rFonts w:ascii="Times New Roman" w:hAnsi="Times New Roman" w:cs="Times New Roman"/>
          <w:sz w:val="24"/>
          <w:szCs w:val="24"/>
        </w:rPr>
        <w:t>-201</w:t>
      </w:r>
      <w:r>
        <w:rPr>
          <w:rFonts w:ascii="Times New Roman" w:hAnsi="Times New Roman" w:cs="Times New Roman"/>
          <w:sz w:val="24"/>
          <w:szCs w:val="24"/>
        </w:rPr>
        <w:t>4</w:t>
      </w:r>
      <w:r w:rsidRPr="001A299F">
        <w:rPr>
          <w:rFonts w:ascii="Times New Roman" w:hAnsi="Times New Roman" w:cs="Times New Roman"/>
          <w:sz w:val="24"/>
          <w:szCs w:val="24"/>
        </w:rPr>
        <w:t xml:space="preserve"> год</w:t>
      </w:r>
      <w:r>
        <w:rPr>
          <w:rFonts w:ascii="Times New Roman" w:hAnsi="Times New Roman" w:cs="Times New Roman"/>
          <w:sz w:val="24"/>
          <w:szCs w:val="24"/>
        </w:rPr>
        <w:t>ах</w:t>
      </w:r>
      <w:r w:rsidRPr="001A299F">
        <w:rPr>
          <w:rFonts w:ascii="Times New Roman" w:hAnsi="Times New Roman" w:cs="Times New Roman"/>
          <w:sz w:val="24"/>
          <w:szCs w:val="24"/>
        </w:rPr>
        <w:t xml:space="preserve"> </w:t>
      </w:r>
      <w:r w:rsidRPr="001A299F">
        <w:rPr>
          <w:rFonts w:ascii="Times New Roman" w:hAnsi="Times New Roman" w:cs="Times New Roman"/>
          <w:iCs/>
          <w:spacing w:val="-3"/>
          <w:sz w:val="24"/>
          <w:szCs w:val="24"/>
        </w:rPr>
        <w:t>темпы прироста государственного долга Амурской области (51,5 процента, 23,7 процента</w:t>
      </w:r>
      <w:r>
        <w:rPr>
          <w:rFonts w:ascii="Times New Roman" w:hAnsi="Times New Roman" w:cs="Times New Roman"/>
          <w:iCs/>
          <w:spacing w:val="-3"/>
          <w:sz w:val="24"/>
          <w:szCs w:val="24"/>
        </w:rPr>
        <w:t xml:space="preserve"> </w:t>
      </w:r>
      <w:r w:rsidRPr="001A299F">
        <w:rPr>
          <w:rFonts w:ascii="Times New Roman" w:hAnsi="Times New Roman" w:cs="Times New Roman"/>
          <w:iCs/>
          <w:spacing w:val="-3"/>
          <w:sz w:val="24"/>
          <w:szCs w:val="24"/>
        </w:rPr>
        <w:t xml:space="preserve">соответственно) значительно опережали темпы прироста налоговых и неналоговых доходов областного бюджета </w:t>
      </w:r>
      <w:r>
        <w:rPr>
          <w:rFonts w:ascii="Times New Roman" w:hAnsi="Times New Roman" w:cs="Times New Roman"/>
          <w:iCs/>
          <w:spacing w:val="-3"/>
          <w:sz w:val="24"/>
          <w:szCs w:val="24"/>
        </w:rPr>
        <w:br/>
      </w:r>
      <w:r w:rsidRPr="001A299F">
        <w:rPr>
          <w:rFonts w:ascii="Times New Roman" w:hAnsi="Times New Roman" w:cs="Times New Roman"/>
          <w:iCs/>
          <w:spacing w:val="-3"/>
          <w:sz w:val="24"/>
          <w:szCs w:val="24"/>
        </w:rPr>
        <w:t>(0,3 процента, 8,4 процента</w:t>
      </w:r>
      <w:r>
        <w:rPr>
          <w:rFonts w:ascii="Times New Roman" w:hAnsi="Times New Roman" w:cs="Times New Roman"/>
          <w:iCs/>
          <w:spacing w:val="-3"/>
          <w:sz w:val="24"/>
          <w:szCs w:val="24"/>
        </w:rPr>
        <w:t xml:space="preserve"> </w:t>
      </w:r>
      <w:r w:rsidRPr="001A299F">
        <w:rPr>
          <w:rFonts w:ascii="Times New Roman" w:hAnsi="Times New Roman" w:cs="Times New Roman"/>
          <w:iCs/>
          <w:spacing w:val="-3"/>
          <w:sz w:val="24"/>
          <w:szCs w:val="24"/>
        </w:rPr>
        <w:t xml:space="preserve"> соответственно). </w:t>
      </w:r>
      <w:r>
        <w:rPr>
          <w:rFonts w:ascii="Times New Roman" w:hAnsi="Times New Roman" w:cs="Times New Roman"/>
          <w:iCs/>
          <w:spacing w:val="-3"/>
          <w:sz w:val="24"/>
          <w:szCs w:val="24"/>
        </w:rPr>
        <w:t xml:space="preserve">Начиная с </w:t>
      </w:r>
      <w:r w:rsidRPr="001A299F">
        <w:rPr>
          <w:rFonts w:ascii="Times New Roman" w:hAnsi="Times New Roman" w:cs="Times New Roman"/>
          <w:iCs/>
          <w:spacing w:val="-3"/>
          <w:sz w:val="24"/>
          <w:szCs w:val="24"/>
        </w:rPr>
        <w:t>2015 год</w:t>
      </w:r>
      <w:r>
        <w:rPr>
          <w:rFonts w:ascii="Times New Roman" w:hAnsi="Times New Roman" w:cs="Times New Roman"/>
          <w:iCs/>
          <w:spacing w:val="-3"/>
          <w:sz w:val="24"/>
          <w:szCs w:val="24"/>
        </w:rPr>
        <w:t>а,</w:t>
      </w:r>
      <w:r w:rsidRPr="001A299F">
        <w:rPr>
          <w:rFonts w:ascii="Times New Roman" w:hAnsi="Times New Roman" w:cs="Times New Roman"/>
          <w:iCs/>
          <w:spacing w:val="-3"/>
          <w:sz w:val="24"/>
          <w:szCs w:val="24"/>
        </w:rPr>
        <w:t xml:space="preserve"> темпы прироста налоговых и неналоговых доходов областного бюджета опережают темпы прироста государственного долга Амурской области (11,1 процента и 8,0 процентов соответственно)</w:t>
      </w:r>
      <w:r>
        <w:rPr>
          <w:rFonts w:ascii="Times New Roman" w:hAnsi="Times New Roman" w:cs="Times New Roman"/>
          <w:iCs/>
          <w:spacing w:val="-3"/>
          <w:sz w:val="24"/>
          <w:szCs w:val="24"/>
        </w:rPr>
        <w:t xml:space="preserve">. В 2016 году </w:t>
      </w:r>
      <w:r w:rsidRPr="001A299F">
        <w:rPr>
          <w:rFonts w:ascii="Times New Roman" w:hAnsi="Times New Roman" w:cs="Times New Roman"/>
          <w:iCs/>
          <w:spacing w:val="-3"/>
          <w:sz w:val="24"/>
          <w:szCs w:val="24"/>
        </w:rPr>
        <w:t>темп прироста налоговых и неналоговых доходов областного бюджета</w:t>
      </w:r>
      <w:r>
        <w:rPr>
          <w:rFonts w:ascii="Times New Roman" w:hAnsi="Times New Roman" w:cs="Times New Roman"/>
          <w:iCs/>
          <w:spacing w:val="-3"/>
          <w:sz w:val="24"/>
          <w:szCs w:val="24"/>
        </w:rPr>
        <w:t xml:space="preserve"> составляет </w:t>
      </w:r>
      <w:r w:rsidRPr="008F1E1C">
        <w:rPr>
          <w:rFonts w:ascii="Times New Roman" w:hAnsi="Times New Roman" w:cs="Times New Roman"/>
          <w:iCs/>
          <w:spacing w:val="-3"/>
          <w:sz w:val="24"/>
          <w:szCs w:val="24"/>
        </w:rPr>
        <w:t>10,4 процента, темп</w:t>
      </w:r>
      <w:r>
        <w:rPr>
          <w:rFonts w:ascii="Times New Roman" w:hAnsi="Times New Roman" w:cs="Times New Roman"/>
          <w:iCs/>
          <w:spacing w:val="-3"/>
          <w:sz w:val="24"/>
          <w:szCs w:val="24"/>
        </w:rPr>
        <w:t xml:space="preserve"> прироста государственного долга Амурской области – 0,4 процента</w:t>
      </w:r>
      <w:r w:rsidRPr="001A299F">
        <w:rPr>
          <w:rFonts w:ascii="Times New Roman" w:hAnsi="Times New Roman" w:cs="Times New Roman"/>
          <w:iCs/>
          <w:spacing w:val="-3"/>
          <w:sz w:val="24"/>
          <w:szCs w:val="24"/>
        </w:rPr>
        <w:t>.</w:t>
      </w:r>
      <w:r w:rsidRPr="001A299F">
        <w:rPr>
          <w:iCs/>
          <w:spacing w:val="-3"/>
          <w:sz w:val="24"/>
          <w:szCs w:val="24"/>
        </w:rPr>
        <w:t xml:space="preserve"> </w:t>
      </w:r>
      <w:r w:rsidRPr="00CD7392">
        <w:rPr>
          <w:rFonts w:ascii="Times New Roman" w:hAnsi="Times New Roman" w:cs="Times New Roman"/>
          <w:iCs/>
          <w:spacing w:val="-3"/>
          <w:sz w:val="24"/>
          <w:szCs w:val="24"/>
        </w:rPr>
        <w:t>В 2017 году</w:t>
      </w:r>
      <w:r>
        <w:rPr>
          <w:rFonts w:ascii="Times New Roman" w:hAnsi="Times New Roman" w:cs="Times New Roman"/>
          <w:iCs/>
          <w:spacing w:val="-3"/>
          <w:sz w:val="24"/>
          <w:szCs w:val="24"/>
        </w:rPr>
        <w:t xml:space="preserve"> наблюдается снижение объема государственного долга по сравнению с 2016 годом  на 9,6 процента, темп прироста налоговых и неналоговых доходов областного бюджета составляет 8,2 процента.</w:t>
      </w:r>
    </w:p>
    <w:p w:rsidR="009C45F8" w:rsidRDefault="009C45F8" w:rsidP="009C45F8">
      <w:pPr>
        <w:shd w:val="clear" w:color="auto" w:fill="FFFFFF"/>
        <w:spacing w:after="0" w:line="240" w:lineRule="auto"/>
        <w:ind w:firstLine="709"/>
        <w:jc w:val="both"/>
        <w:rPr>
          <w:rFonts w:ascii="Times New Roman" w:hAnsi="Times New Roman" w:cs="Times New Roman"/>
          <w:iCs/>
          <w:spacing w:val="-3"/>
          <w:sz w:val="24"/>
          <w:szCs w:val="24"/>
        </w:rPr>
      </w:pPr>
      <w:r w:rsidRPr="001A299F">
        <w:rPr>
          <w:rFonts w:ascii="Times New Roman" w:hAnsi="Times New Roman" w:cs="Times New Roman"/>
          <w:iCs/>
          <w:spacing w:val="-3"/>
          <w:sz w:val="24"/>
          <w:szCs w:val="24"/>
        </w:rPr>
        <w:t>Динамика состояния государственного долга Амурской области, объема доходов областного бюджета без учета безвозмездных поступлений за 201</w:t>
      </w:r>
      <w:r>
        <w:rPr>
          <w:rFonts w:ascii="Times New Roman" w:hAnsi="Times New Roman" w:cs="Times New Roman"/>
          <w:iCs/>
          <w:spacing w:val="-3"/>
          <w:sz w:val="24"/>
          <w:szCs w:val="24"/>
        </w:rPr>
        <w:t>2</w:t>
      </w:r>
      <w:r w:rsidRPr="001A299F">
        <w:rPr>
          <w:rFonts w:ascii="Times New Roman" w:hAnsi="Times New Roman" w:cs="Times New Roman"/>
          <w:iCs/>
          <w:spacing w:val="-3"/>
          <w:sz w:val="24"/>
          <w:szCs w:val="24"/>
        </w:rPr>
        <w:t>-201</w:t>
      </w:r>
      <w:r>
        <w:rPr>
          <w:rFonts w:ascii="Times New Roman" w:hAnsi="Times New Roman" w:cs="Times New Roman"/>
          <w:iCs/>
          <w:spacing w:val="-3"/>
          <w:sz w:val="24"/>
          <w:szCs w:val="24"/>
        </w:rPr>
        <w:t>7</w:t>
      </w:r>
      <w:r w:rsidRPr="001A299F">
        <w:rPr>
          <w:rFonts w:ascii="Times New Roman" w:hAnsi="Times New Roman" w:cs="Times New Roman"/>
          <w:iCs/>
          <w:spacing w:val="-3"/>
          <w:sz w:val="24"/>
          <w:szCs w:val="24"/>
        </w:rPr>
        <w:t xml:space="preserve"> годы представлена </w:t>
      </w:r>
      <w:r w:rsidRPr="00580719">
        <w:rPr>
          <w:rFonts w:ascii="Times New Roman" w:hAnsi="Times New Roman" w:cs="Times New Roman"/>
          <w:iCs/>
          <w:spacing w:val="-3"/>
          <w:sz w:val="24"/>
          <w:szCs w:val="24"/>
        </w:rPr>
        <w:t xml:space="preserve">на </w:t>
      </w:r>
      <w:r w:rsidR="00783FBA" w:rsidRPr="00783FBA">
        <w:rPr>
          <w:rFonts w:ascii="Times New Roman" w:hAnsi="Times New Roman" w:cs="Times New Roman"/>
          <w:iCs/>
          <w:spacing w:val="-3"/>
          <w:sz w:val="24"/>
          <w:szCs w:val="24"/>
        </w:rPr>
        <w:t>рисунке 34</w:t>
      </w:r>
      <w:r w:rsidRPr="00783FBA">
        <w:rPr>
          <w:rFonts w:ascii="Times New Roman" w:hAnsi="Times New Roman" w:cs="Times New Roman"/>
          <w:iCs/>
          <w:spacing w:val="-3"/>
          <w:sz w:val="24"/>
          <w:szCs w:val="24"/>
        </w:rPr>
        <w:t>.</w:t>
      </w:r>
    </w:p>
    <w:p w:rsidR="00E5269A" w:rsidRDefault="00E5269A" w:rsidP="00E52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пяти лет (2012–2016 годы) </w:t>
      </w:r>
      <w:r w:rsidRPr="001A299F">
        <w:rPr>
          <w:rFonts w:ascii="Times New Roman" w:eastAsia="Times New Roman" w:hAnsi="Times New Roman" w:cs="Times New Roman"/>
          <w:sz w:val="24"/>
          <w:szCs w:val="24"/>
          <w:lang w:eastAsia="ru-RU"/>
        </w:rPr>
        <w:t>ежегодно наблюдается тенденция роста объема государст</w:t>
      </w:r>
      <w:r>
        <w:rPr>
          <w:rFonts w:ascii="Times New Roman" w:eastAsia="Times New Roman" w:hAnsi="Times New Roman" w:cs="Times New Roman"/>
          <w:sz w:val="24"/>
          <w:szCs w:val="24"/>
          <w:lang w:eastAsia="ru-RU"/>
        </w:rPr>
        <w:t>венного долга Амурской области.</w:t>
      </w:r>
    </w:p>
    <w:p w:rsidR="00E5269A" w:rsidRPr="001A299F" w:rsidRDefault="00E5269A" w:rsidP="00E52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Так по состоянию на 01.01.201</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объем долговых обязательств по отношению к долговым обязательствам </w:t>
      </w:r>
      <w:r>
        <w:rPr>
          <w:rFonts w:ascii="Times New Roman" w:eastAsia="Times New Roman" w:hAnsi="Times New Roman" w:cs="Times New Roman"/>
          <w:sz w:val="24"/>
          <w:szCs w:val="24"/>
          <w:lang w:eastAsia="ru-RU"/>
        </w:rPr>
        <w:t>по состоянию на 01.01.2013</w:t>
      </w:r>
      <w:r w:rsidRPr="001A299F">
        <w:rPr>
          <w:rFonts w:ascii="Times New Roman" w:eastAsia="Times New Roman" w:hAnsi="Times New Roman" w:cs="Times New Roman"/>
          <w:sz w:val="24"/>
          <w:szCs w:val="24"/>
          <w:lang w:eastAsia="ru-RU"/>
        </w:rPr>
        <w:t xml:space="preserve"> увеличился в 1,</w:t>
      </w:r>
      <w:r>
        <w:rPr>
          <w:rFonts w:ascii="Times New Roman" w:eastAsia="Times New Roman" w:hAnsi="Times New Roman" w:cs="Times New Roman"/>
          <w:sz w:val="24"/>
          <w:szCs w:val="24"/>
          <w:lang w:eastAsia="ru-RU"/>
        </w:rPr>
        <w:t>5 раза.</w:t>
      </w:r>
    </w:p>
    <w:p w:rsidR="00E5269A" w:rsidRPr="001A299F" w:rsidRDefault="00E5269A" w:rsidP="00E52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Долговые обязательства Амурской области 201</w:t>
      </w:r>
      <w:r>
        <w:rPr>
          <w:rFonts w:ascii="Times New Roman" w:eastAsia="Times New Roman" w:hAnsi="Times New Roman" w:cs="Times New Roman"/>
          <w:sz w:val="24"/>
          <w:szCs w:val="24"/>
          <w:lang w:eastAsia="ru-RU"/>
        </w:rPr>
        <w:t xml:space="preserve">4 </w:t>
      </w:r>
      <w:r w:rsidRPr="001A299F">
        <w:rPr>
          <w:rFonts w:ascii="Times New Roman" w:eastAsia="Times New Roman" w:hAnsi="Times New Roman" w:cs="Times New Roman"/>
          <w:sz w:val="24"/>
          <w:szCs w:val="24"/>
          <w:lang w:eastAsia="ru-RU"/>
        </w:rPr>
        <w:t>года по отношению к долговым обязательствам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года возросли в </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1A299F">
        <w:rPr>
          <w:rFonts w:ascii="Times New Roman" w:eastAsia="Times New Roman" w:hAnsi="Times New Roman" w:cs="Times New Roman"/>
          <w:sz w:val="24"/>
          <w:szCs w:val="24"/>
          <w:lang w:eastAsia="ru-RU"/>
        </w:rPr>
        <w:t xml:space="preserve"> раза, увеличение по отношению к объему государственного долга, сложившегося </w:t>
      </w:r>
      <w:r>
        <w:rPr>
          <w:rFonts w:ascii="Times New Roman" w:eastAsia="Times New Roman" w:hAnsi="Times New Roman" w:cs="Times New Roman"/>
          <w:sz w:val="24"/>
          <w:szCs w:val="24"/>
          <w:lang w:eastAsia="ru-RU"/>
        </w:rPr>
        <w:t xml:space="preserve">за 2013 год </w:t>
      </w:r>
      <w:r w:rsidRPr="001A299F">
        <w:rPr>
          <w:rFonts w:ascii="Times New Roman" w:eastAsia="Times New Roman" w:hAnsi="Times New Roman" w:cs="Times New Roman"/>
          <w:sz w:val="24"/>
          <w:szCs w:val="24"/>
          <w:lang w:eastAsia="ru-RU"/>
        </w:rPr>
        <w:t>составляет 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раза.</w:t>
      </w:r>
    </w:p>
    <w:p w:rsidR="00E5269A" w:rsidRPr="001A299F" w:rsidRDefault="00E5269A" w:rsidP="00E5269A">
      <w:pPr>
        <w:spacing w:after="0" w:line="240" w:lineRule="auto"/>
        <w:ind w:firstLine="708"/>
        <w:jc w:val="both"/>
        <w:rPr>
          <w:rFonts w:ascii="Times New Roman" w:hAnsi="Times New Roman" w:cs="Times New Roman"/>
          <w:sz w:val="24"/>
          <w:szCs w:val="24"/>
        </w:rPr>
      </w:pPr>
      <w:r w:rsidRPr="001A299F">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1A299F">
        <w:rPr>
          <w:rFonts w:ascii="Times New Roman" w:eastAsia="Times New Roman" w:hAnsi="Times New Roman" w:cs="Times New Roman"/>
          <w:sz w:val="24"/>
          <w:szCs w:val="24"/>
          <w:lang w:eastAsia="ru-RU"/>
        </w:rPr>
        <w:t xml:space="preserve"> году объем государственного долга Амурской области по отношению к объему государственного долга 201</w:t>
      </w:r>
      <w:r>
        <w:rPr>
          <w:rFonts w:ascii="Times New Roman" w:eastAsia="Times New Roman" w:hAnsi="Times New Roman" w:cs="Times New Roman"/>
          <w:sz w:val="24"/>
          <w:szCs w:val="24"/>
          <w:lang w:eastAsia="ru-RU"/>
        </w:rPr>
        <w:t>4</w:t>
      </w:r>
      <w:r w:rsidRPr="001A299F">
        <w:rPr>
          <w:rFonts w:ascii="Times New Roman" w:eastAsia="Times New Roman" w:hAnsi="Times New Roman" w:cs="Times New Roman"/>
          <w:sz w:val="24"/>
          <w:szCs w:val="24"/>
          <w:lang w:eastAsia="ru-RU"/>
        </w:rPr>
        <w:t xml:space="preserve"> года возрос в 1,</w:t>
      </w:r>
      <w:r>
        <w:rPr>
          <w:rFonts w:ascii="Times New Roman" w:eastAsia="Times New Roman" w:hAnsi="Times New Roman" w:cs="Times New Roman"/>
          <w:sz w:val="24"/>
          <w:szCs w:val="24"/>
          <w:lang w:eastAsia="ru-RU"/>
        </w:rPr>
        <w:t>1</w:t>
      </w:r>
      <w:r w:rsidRPr="001A299F">
        <w:rPr>
          <w:rFonts w:ascii="Times New Roman" w:eastAsia="Times New Roman" w:hAnsi="Times New Roman" w:cs="Times New Roman"/>
          <w:sz w:val="24"/>
          <w:szCs w:val="24"/>
          <w:lang w:eastAsia="ru-RU"/>
        </w:rPr>
        <w:t xml:space="preserve"> раза.</w:t>
      </w:r>
    </w:p>
    <w:p w:rsidR="00E5269A" w:rsidRPr="00783FBA" w:rsidRDefault="00E5269A" w:rsidP="009C45F8">
      <w:pPr>
        <w:shd w:val="clear" w:color="auto" w:fill="FFFFFF"/>
        <w:spacing w:after="0" w:line="240" w:lineRule="auto"/>
        <w:ind w:firstLine="709"/>
        <w:jc w:val="both"/>
        <w:rPr>
          <w:rFonts w:ascii="Times New Roman" w:hAnsi="Times New Roman" w:cs="Times New Roman"/>
          <w:iCs/>
          <w:spacing w:val="-3"/>
          <w:sz w:val="24"/>
          <w:szCs w:val="24"/>
        </w:rPr>
      </w:pPr>
    </w:p>
    <w:p w:rsidR="009C45F8" w:rsidRPr="001A299F" w:rsidRDefault="009C45F8" w:rsidP="009C45F8">
      <w:pPr>
        <w:widowControl w:val="0"/>
        <w:autoSpaceDE w:val="0"/>
        <w:autoSpaceDN w:val="0"/>
        <w:adjustRightInd w:val="0"/>
        <w:spacing w:after="0" w:line="240" w:lineRule="auto"/>
        <w:jc w:val="both"/>
        <w:rPr>
          <w:rFonts w:ascii="Times New Roman" w:hAnsi="Times New Roman" w:cs="Times New Roman"/>
          <w:sz w:val="24"/>
          <w:szCs w:val="24"/>
        </w:rPr>
      </w:pPr>
      <w:r w:rsidRPr="001A299F">
        <w:rPr>
          <w:noProof/>
          <w:color w:val="0D0D0D"/>
          <w:sz w:val="24"/>
          <w:szCs w:val="24"/>
          <w:lang w:eastAsia="ru-RU"/>
        </w:rPr>
        <w:drawing>
          <wp:inline distT="0" distB="0" distL="0" distR="0" wp14:anchorId="5515A875" wp14:editId="3AEC8325">
            <wp:extent cx="6124575" cy="4552950"/>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C45F8" w:rsidRPr="001A299F" w:rsidRDefault="009C45F8" w:rsidP="009C45F8">
      <w:pPr>
        <w:shd w:val="clear" w:color="auto" w:fill="FFFFFF"/>
        <w:spacing w:after="0" w:line="240" w:lineRule="auto"/>
        <w:ind w:firstLine="709"/>
        <w:jc w:val="center"/>
        <w:rPr>
          <w:rFonts w:ascii="Times New Roman" w:hAnsi="Times New Roman" w:cs="Times New Roman"/>
          <w:b/>
          <w:iCs/>
          <w:spacing w:val="-3"/>
          <w:sz w:val="24"/>
          <w:szCs w:val="24"/>
        </w:rPr>
      </w:pPr>
      <w:r w:rsidRPr="00783FBA">
        <w:rPr>
          <w:rFonts w:ascii="Times New Roman" w:hAnsi="Times New Roman" w:cs="Times New Roman"/>
          <w:b/>
          <w:iCs/>
          <w:spacing w:val="-3"/>
          <w:sz w:val="24"/>
          <w:szCs w:val="24"/>
        </w:rPr>
        <w:t>Рис. 3</w:t>
      </w:r>
      <w:r w:rsidR="00783FBA" w:rsidRPr="00783FBA">
        <w:rPr>
          <w:rFonts w:ascii="Times New Roman" w:hAnsi="Times New Roman" w:cs="Times New Roman"/>
          <w:b/>
          <w:iCs/>
          <w:spacing w:val="-3"/>
          <w:sz w:val="24"/>
          <w:szCs w:val="24"/>
        </w:rPr>
        <w:t>4</w:t>
      </w:r>
      <w:r w:rsidRPr="00783FBA">
        <w:rPr>
          <w:rFonts w:ascii="Times New Roman" w:hAnsi="Times New Roman" w:cs="Times New Roman"/>
          <w:b/>
          <w:iCs/>
          <w:spacing w:val="-3"/>
          <w:sz w:val="24"/>
          <w:szCs w:val="24"/>
        </w:rPr>
        <w:t xml:space="preserve"> - </w:t>
      </w:r>
      <w:r w:rsidRPr="008F1E1C">
        <w:rPr>
          <w:rFonts w:ascii="Times New Roman" w:hAnsi="Times New Roman" w:cs="Times New Roman"/>
          <w:b/>
          <w:iCs/>
          <w:spacing w:val="-3"/>
          <w:sz w:val="24"/>
          <w:szCs w:val="24"/>
        </w:rPr>
        <w:t>Динамика состояния государственного</w:t>
      </w:r>
      <w:r w:rsidRPr="001A299F">
        <w:rPr>
          <w:rFonts w:ascii="Times New Roman" w:hAnsi="Times New Roman" w:cs="Times New Roman"/>
          <w:b/>
          <w:iCs/>
          <w:spacing w:val="-3"/>
          <w:sz w:val="24"/>
          <w:szCs w:val="24"/>
        </w:rPr>
        <w:t xml:space="preserve"> долга области, объема доходов областного бюджета без учета безвозмездных поступлений за 201</w:t>
      </w:r>
      <w:r>
        <w:rPr>
          <w:rFonts w:ascii="Times New Roman" w:hAnsi="Times New Roman" w:cs="Times New Roman"/>
          <w:b/>
          <w:iCs/>
          <w:spacing w:val="-3"/>
          <w:sz w:val="24"/>
          <w:szCs w:val="24"/>
        </w:rPr>
        <w:t>2</w:t>
      </w:r>
      <w:r w:rsidRPr="001A299F">
        <w:rPr>
          <w:rFonts w:ascii="Times New Roman" w:hAnsi="Times New Roman" w:cs="Times New Roman"/>
          <w:b/>
          <w:iCs/>
          <w:spacing w:val="-3"/>
          <w:sz w:val="24"/>
          <w:szCs w:val="24"/>
        </w:rPr>
        <w:t>-201</w:t>
      </w:r>
      <w:r>
        <w:rPr>
          <w:rFonts w:ascii="Times New Roman" w:hAnsi="Times New Roman" w:cs="Times New Roman"/>
          <w:b/>
          <w:iCs/>
          <w:spacing w:val="-3"/>
          <w:sz w:val="24"/>
          <w:szCs w:val="24"/>
        </w:rPr>
        <w:t>7</w:t>
      </w:r>
      <w:r w:rsidRPr="001A299F">
        <w:rPr>
          <w:rFonts w:ascii="Times New Roman" w:hAnsi="Times New Roman" w:cs="Times New Roman"/>
          <w:b/>
          <w:iCs/>
          <w:spacing w:val="-3"/>
          <w:sz w:val="24"/>
          <w:szCs w:val="24"/>
        </w:rPr>
        <w:t xml:space="preserve"> годы, млн. руб</w:t>
      </w:r>
      <w:r>
        <w:rPr>
          <w:rFonts w:ascii="Times New Roman" w:hAnsi="Times New Roman" w:cs="Times New Roman"/>
          <w:b/>
          <w:iCs/>
          <w:spacing w:val="-3"/>
          <w:sz w:val="24"/>
          <w:szCs w:val="24"/>
        </w:rPr>
        <w:t>.</w:t>
      </w:r>
    </w:p>
    <w:p w:rsidR="009C45F8"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45F8" w:rsidRPr="001A299F" w:rsidRDefault="009C45F8" w:rsidP="009C4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9F">
        <w:rPr>
          <w:rFonts w:ascii="Times New Roman" w:hAnsi="Times New Roman" w:cs="Times New Roman"/>
          <w:sz w:val="24"/>
          <w:szCs w:val="24"/>
        </w:rPr>
        <w:t>Рост объема государственного долга области 201</w:t>
      </w:r>
      <w:r>
        <w:rPr>
          <w:rFonts w:ascii="Times New Roman" w:hAnsi="Times New Roman" w:cs="Times New Roman"/>
          <w:sz w:val="24"/>
          <w:szCs w:val="24"/>
        </w:rPr>
        <w:t>6</w:t>
      </w:r>
      <w:r w:rsidRPr="001A299F">
        <w:rPr>
          <w:rFonts w:ascii="Times New Roman" w:hAnsi="Times New Roman" w:cs="Times New Roman"/>
          <w:sz w:val="24"/>
          <w:szCs w:val="24"/>
        </w:rPr>
        <w:t xml:space="preserve"> года по отношению к объему долга 201</w:t>
      </w:r>
      <w:r>
        <w:rPr>
          <w:rFonts w:ascii="Times New Roman" w:hAnsi="Times New Roman" w:cs="Times New Roman"/>
          <w:sz w:val="24"/>
          <w:szCs w:val="24"/>
        </w:rPr>
        <w:t>5</w:t>
      </w:r>
      <w:r w:rsidRPr="001A299F">
        <w:rPr>
          <w:rFonts w:ascii="Times New Roman" w:hAnsi="Times New Roman" w:cs="Times New Roman"/>
          <w:sz w:val="24"/>
          <w:szCs w:val="24"/>
        </w:rPr>
        <w:t xml:space="preserve"> </w:t>
      </w:r>
      <w:r>
        <w:rPr>
          <w:rFonts w:ascii="Times New Roman" w:hAnsi="Times New Roman" w:cs="Times New Roman"/>
          <w:sz w:val="24"/>
          <w:szCs w:val="24"/>
        </w:rPr>
        <w:t>года составляет 0,4 процента. В 2017 году наблюдается снижение объема долговых обязательств по сравнению с долговыми обязательствами 2016 года на 9,6 процента.</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hAnsi="Times New Roman" w:cs="Times New Roman"/>
          <w:sz w:val="24"/>
          <w:szCs w:val="24"/>
        </w:rPr>
        <w:t>Основной причиной увеличения объема государственного долга за 201</w:t>
      </w:r>
      <w:r>
        <w:rPr>
          <w:rFonts w:ascii="Times New Roman" w:hAnsi="Times New Roman" w:cs="Times New Roman"/>
          <w:sz w:val="24"/>
          <w:szCs w:val="24"/>
        </w:rPr>
        <w:t>2</w:t>
      </w:r>
      <w:r w:rsidRPr="001A299F">
        <w:rPr>
          <w:rFonts w:ascii="Times New Roman" w:hAnsi="Times New Roman" w:cs="Times New Roman"/>
          <w:sz w:val="24"/>
          <w:szCs w:val="24"/>
        </w:rPr>
        <w:t>-2015 годы является увеличение объема привлечения к</w:t>
      </w:r>
      <w:r>
        <w:rPr>
          <w:rFonts w:ascii="Times New Roman" w:hAnsi="Times New Roman" w:cs="Times New Roman"/>
          <w:sz w:val="24"/>
          <w:szCs w:val="24"/>
        </w:rPr>
        <w:t>редитов кредитных организаций.</w:t>
      </w:r>
      <w:r w:rsidRPr="00EA377B">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 xml:space="preserve">На протяжении </w:t>
      </w:r>
      <w:r>
        <w:rPr>
          <w:rFonts w:ascii="Times New Roman" w:eastAsia="Times New Roman" w:hAnsi="Times New Roman" w:cs="Times New Roman"/>
          <w:sz w:val="24"/>
          <w:szCs w:val="24"/>
          <w:lang w:eastAsia="ru-RU"/>
        </w:rPr>
        <w:t>2012-2015 годов</w:t>
      </w:r>
      <w:r w:rsidRPr="001A299F">
        <w:rPr>
          <w:rFonts w:ascii="Times New Roman" w:eastAsia="Times New Roman" w:hAnsi="Times New Roman" w:cs="Times New Roman"/>
          <w:sz w:val="24"/>
          <w:szCs w:val="24"/>
          <w:lang w:eastAsia="ru-RU"/>
        </w:rPr>
        <w:t xml:space="preserve"> в структуре государственного долга Амурской области преобладают </w:t>
      </w:r>
      <w:r>
        <w:rPr>
          <w:rFonts w:ascii="Times New Roman" w:eastAsia="Times New Roman" w:hAnsi="Times New Roman" w:cs="Times New Roman"/>
          <w:sz w:val="24"/>
          <w:szCs w:val="24"/>
          <w:lang w:eastAsia="ru-RU"/>
        </w:rPr>
        <w:t xml:space="preserve">обязательства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В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они занимают </w:t>
      </w:r>
      <w:r w:rsidRPr="001A299F">
        <w:rPr>
          <w:rFonts w:ascii="Times New Roman" w:eastAsia="Times New Roman" w:hAnsi="Times New Roman" w:cs="Times New Roman"/>
          <w:sz w:val="24"/>
          <w:szCs w:val="24"/>
          <w:lang w:eastAsia="ru-RU"/>
        </w:rPr>
        <w:t xml:space="preserve"> 62,</w:t>
      </w:r>
      <w:r>
        <w:rPr>
          <w:rFonts w:ascii="Times New Roman" w:eastAsia="Times New Roman" w:hAnsi="Times New Roman" w:cs="Times New Roman"/>
          <w:sz w:val="24"/>
          <w:szCs w:val="24"/>
          <w:lang w:eastAsia="ru-RU"/>
        </w:rPr>
        <w:t>0</w:t>
      </w:r>
      <w:r w:rsidRPr="001A299F">
        <w:rPr>
          <w:rFonts w:ascii="Times New Roman" w:eastAsia="Times New Roman" w:hAnsi="Times New Roman" w:cs="Times New Roman"/>
          <w:sz w:val="24"/>
          <w:szCs w:val="24"/>
          <w:lang w:eastAsia="ru-RU"/>
        </w:rPr>
        <w:t xml:space="preserve"> процента, в</w:t>
      </w:r>
      <w:r>
        <w:rPr>
          <w:rFonts w:ascii="Times New Roman" w:eastAsia="Times New Roman" w:hAnsi="Times New Roman" w:cs="Times New Roman"/>
          <w:sz w:val="24"/>
          <w:szCs w:val="24"/>
          <w:lang w:eastAsia="ru-RU"/>
        </w:rPr>
        <w:t xml:space="preserve"> </w:t>
      </w:r>
      <w:r w:rsidRPr="001A299F">
        <w:rPr>
          <w:rFonts w:ascii="Times New Roman" w:eastAsia="Times New Roman" w:hAnsi="Times New Roman" w:cs="Times New Roman"/>
          <w:sz w:val="24"/>
          <w:szCs w:val="24"/>
          <w:lang w:eastAsia="ru-RU"/>
        </w:rPr>
        <w:t>2013 год</w:t>
      </w:r>
      <w:r>
        <w:rPr>
          <w:rFonts w:ascii="Times New Roman" w:eastAsia="Times New Roman" w:hAnsi="Times New Roman" w:cs="Times New Roman"/>
          <w:sz w:val="24"/>
          <w:szCs w:val="24"/>
          <w:lang w:eastAsia="ru-RU"/>
        </w:rPr>
        <w:t>у</w:t>
      </w:r>
      <w:r w:rsidRPr="001A299F">
        <w:rPr>
          <w:rFonts w:ascii="Times New Roman" w:eastAsia="Times New Roman" w:hAnsi="Times New Roman" w:cs="Times New Roman"/>
          <w:sz w:val="24"/>
          <w:szCs w:val="24"/>
          <w:lang w:eastAsia="ru-RU"/>
        </w:rPr>
        <w:t xml:space="preserve"> доля </w:t>
      </w:r>
      <w:r>
        <w:rPr>
          <w:rFonts w:ascii="Times New Roman" w:eastAsia="Times New Roman" w:hAnsi="Times New Roman" w:cs="Times New Roman"/>
          <w:sz w:val="24"/>
          <w:szCs w:val="24"/>
          <w:lang w:eastAsia="ru-RU"/>
        </w:rPr>
        <w:t xml:space="preserve">обязательств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снижается по сравнению с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 xml:space="preserve"> годом до 58,6 процента. В 2014 году доля</w:t>
      </w:r>
      <w:r>
        <w:rPr>
          <w:rFonts w:ascii="Times New Roman" w:eastAsia="Times New Roman" w:hAnsi="Times New Roman" w:cs="Times New Roman"/>
          <w:sz w:val="24"/>
          <w:szCs w:val="24"/>
          <w:lang w:eastAsia="ru-RU"/>
        </w:rPr>
        <w:t xml:space="preserve"> обязательств по </w:t>
      </w:r>
      <w:r w:rsidRPr="001A299F">
        <w:rPr>
          <w:rFonts w:ascii="Times New Roman" w:eastAsia="Times New Roman" w:hAnsi="Times New Roman" w:cs="Times New Roman"/>
          <w:sz w:val="24"/>
          <w:szCs w:val="24"/>
          <w:lang w:eastAsia="ru-RU"/>
        </w:rPr>
        <w:t>кредит</w:t>
      </w:r>
      <w:r>
        <w:rPr>
          <w:rFonts w:ascii="Times New Roman" w:eastAsia="Times New Roman" w:hAnsi="Times New Roman" w:cs="Times New Roman"/>
          <w:sz w:val="24"/>
          <w:szCs w:val="24"/>
          <w:lang w:eastAsia="ru-RU"/>
        </w:rPr>
        <w:t>ам</w:t>
      </w:r>
      <w:r w:rsidRPr="001A299F">
        <w:rPr>
          <w:rFonts w:ascii="Times New Roman" w:eastAsia="Times New Roman" w:hAnsi="Times New Roman" w:cs="Times New Roman"/>
          <w:sz w:val="24"/>
          <w:szCs w:val="24"/>
          <w:lang w:eastAsia="ru-RU"/>
        </w:rPr>
        <w:t xml:space="preserve"> коммерческих банков в структуре государственного долга области повышается по сравнению с 2013 годом до 62,1 процента, в 2015 году их доля составляет 64,8 процента</w:t>
      </w:r>
      <w:r w:rsidR="00E5269A">
        <w:rPr>
          <w:rFonts w:ascii="Times New Roman" w:eastAsia="Times New Roman" w:hAnsi="Times New Roman" w:cs="Times New Roman"/>
          <w:sz w:val="24"/>
          <w:szCs w:val="24"/>
          <w:lang w:eastAsia="ru-RU"/>
        </w:rPr>
        <w:t>.</w:t>
      </w:r>
    </w:p>
    <w:p w:rsidR="009C45F8" w:rsidRDefault="009C45F8" w:rsidP="009C45F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A377B">
        <w:rPr>
          <w:rFonts w:ascii="Times New Roman" w:hAnsi="Times New Roman" w:cs="Times New Roman"/>
          <w:sz w:val="24"/>
          <w:szCs w:val="24"/>
        </w:rPr>
        <w:t xml:space="preserve">В 2016 году </w:t>
      </w:r>
      <w:r>
        <w:rPr>
          <w:rFonts w:ascii="Times New Roman" w:hAnsi="Times New Roman" w:cs="Times New Roman"/>
          <w:sz w:val="24"/>
          <w:szCs w:val="24"/>
        </w:rPr>
        <w:t>с</w:t>
      </w:r>
      <w:r w:rsidRPr="00205BEE">
        <w:rPr>
          <w:rFonts w:ascii="Times New Roman" w:hAnsi="Times New Roman" w:cs="Times New Roman"/>
          <w:sz w:val="24"/>
          <w:szCs w:val="24"/>
        </w:rPr>
        <w:t xml:space="preserve">труктура государственного долга по сравнению с </w:t>
      </w:r>
      <w:r>
        <w:rPr>
          <w:rFonts w:ascii="Times New Roman" w:hAnsi="Times New Roman" w:cs="Times New Roman"/>
          <w:sz w:val="24"/>
          <w:szCs w:val="24"/>
        </w:rPr>
        <w:t>2015 годом</w:t>
      </w:r>
      <w:r w:rsidRPr="00205BEE">
        <w:rPr>
          <w:rFonts w:ascii="Times New Roman" w:hAnsi="Times New Roman" w:cs="Times New Roman"/>
          <w:sz w:val="24"/>
          <w:szCs w:val="24"/>
        </w:rPr>
        <w:t xml:space="preserve"> претерпела изменения. Наибольший удельный вес в структуре государственного долга</w:t>
      </w:r>
      <w:r>
        <w:rPr>
          <w:rFonts w:ascii="Times New Roman" w:hAnsi="Times New Roman" w:cs="Times New Roman"/>
          <w:sz w:val="24"/>
          <w:szCs w:val="24"/>
        </w:rPr>
        <w:t xml:space="preserve"> в 2016 году </w:t>
      </w:r>
      <w:r w:rsidRPr="00205BEE">
        <w:rPr>
          <w:rFonts w:ascii="Times New Roman" w:hAnsi="Times New Roman" w:cs="Times New Roman"/>
          <w:sz w:val="24"/>
          <w:szCs w:val="24"/>
        </w:rPr>
        <w:t xml:space="preserve"> - 65,4 процента занимают обязательства по бюджетным кредитам, привлеченным из федерального бюджета, обязательства по кредитам, полученным от кредитных организаций</w:t>
      </w:r>
      <w:r>
        <w:rPr>
          <w:rFonts w:ascii="Times New Roman" w:hAnsi="Times New Roman" w:cs="Times New Roman"/>
          <w:sz w:val="24"/>
          <w:szCs w:val="24"/>
        </w:rPr>
        <w:t xml:space="preserve">, составляют </w:t>
      </w:r>
      <w:r w:rsidRPr="00205BEE">
        <w:rPr>
          <w:rFonts w:ascii="Times New Roman" w:hAnsi="Times New Roman" w:cs="Times New Roman"/>
          <w:sz w:val="24"/>
          <w:szCs w:val="24"/>
        </w:rPr>
        <w:t>– 34,</w:t>
      </w:r>
      <w:r w:rsidR="00E5269A">
        <w:rPr>
          <w:rFonts w:ascii="Times New Roman" w:hAnsi="Times New Roman" w:cs="Times New Roman"/>
          <w:sz w:val="24"/>
          <w:szCs w:val="24"/>
        </w:rPr>
        <w:t>4 процента.</w:t>
      </w:r>
    </w:p>
    <w:p w:rsidR="009C45F8" w:rsidRPr="003B7521" w:rsidRDefault="009C45F8" w:rsidP="009C45F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2017 году сохраняется тенденция  </w:t>
      </w:r>
      <w:r>
        <w:rPr>
          <w:rFonts w:ascii="Times New Roman" w:eastAsia="Times New Roman" w:hAnsi="Times New Roman" w:cs="Times New Roman"/>
          <w:sz w:val="24"/>
          <w:szCs w:val="24"/>
          <w:lang w:eastAsia="ru-RU"/>
        </w:rPr>
        <w:t xml:space="preserve">увеличения объема </w:t>
      </w:r>
      <w:r w:rsidRPr="001A299F">
        <w:rPr>
          <w:rFonts w:ascii="Times New Roman" w:eastAsia="Times New Roman" w:hAnsi="Times New Roman" w:cs="Times New Roman"/>
          <w:sz w:val="24"/>
          <w:szCs w:val="24"/>
          <w:lang w:eastAsia="ru-RU"/>
        </w:rPr>
        <w:t>привлечени</w:t>
      </w:r>
      <w:r>
        <w:rPr>
          <w:rFonts w:ascii="Times New Roman" w:eastAsia="Times New Roman" w:hAnsi="Times New Roman" w:cs="Times New Roman"/>
          <w:sz w:val="24"/>
          <w:szCs w:val="24"/>
          <w:lang w:eastAsia="ru-RU"/>
        </w:rPr>
        <w:t>я</w:t>
      </w:r>
      <w:r w:rsidRPr="001A299F">
        <w:rPr>
          <w:rFonts w:ascii="Times New Roman" w:eastAsia="Times New Roman" w:hAnsi="Times New Roman" w:cs="Times New Roman"/>
          <w:sz w:val="24"/>
          <w:szCs w:val="24"/>
          <w:lang w:eastAsia="ru-RU"/>
        </w:rPr>
        <w:t xml:space="preserve"> бюджетных кредитов из федерального бюджета</w:t>
      </w:r>
      <w:r>
        <w:rPr>
          <w:rFonts w:ascii="Times New Roman" w:eastAsia="Times New Roman" w:hAnsi="Times New Roman" w:cs="Times New Roman"/>
          <w:sz w:val="24"/>
          <w:szCs w:val="24"/>
          <w:lang w:eastAsia="ru-RU"/>
        </w:rPr>
        <w:t xml:space="preserve">. </w:t>
      </w:r>
      <w:r w:rsidRPr="003B7521">
        <w:rPr>
          <w:rFonts w:ascii="Times New Roman" w:hAnsi="Times New Roman" w:cs="Times New Roman"/>
          <w:sz w:val="24"/>
          <w:szCs w:val="24"/>
        </w:rPr>
        <w:t xml:space="preserve">Наибольший удельный вес в структуре государственного долга </w:t>
      </w:r>
      <w:r>
        <w:rPr>
          <w:rFonts w:ascii="Times New Roman" w:hAnsi="Times New Roman" w:cs="Times New Roman"/>
          <w:sz w:val="24"/>
          <w:szCs w:val="24"/>
        </w:rPr>
        <w:t xml:space="preserve">в 2017 году </w:t>
      </w:r>
      <w:r w:rsidRPr="003B7521">
        <w:rPr>
          <w:rFonts w:ascii="Times New Roman" w:hAnsi="Times New Roman" w:cs="Times New Roman"/>
          <w:sz w:val="24"/>
          <w:szCs w:val="24"/>
        </w:rPr>
        <w:t xml:space="preserve"> - 67,2 процента занимают обязательства по бюджетным кредитам, привлеченным из федерального бюджета, обязательства по кредитам, полученным от кредитных организаций, составляют 32,8 процента. Обязательства области по государственным гарантиям в 2017</w:t>
      </w:r>
      <w:r w:rsidR="00E5269A">
        <w:rPr>
          <w:rFonts w:ascii="Times New Roman" w:hAnsi="Times New Roman" w:cs="Times New Roman"/>
          <w:sz w:val="24"/>
          <w:szCs w:val="24"/>
        </w:rPr>
        <w:t xml:space="preserve"> году погашены в полном объеме.</w:t>
      </w:r>
    </w:p>
    <w:p w:rsidR="009C45F8" w:rsidRPr="00783FBA"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Структура государственного долга Амурской области в динамике за 201</w:t>
      </w:r>
      <w:r>
        <w:rPr>
          <w:rFonts w:ascii="Times New Roman" w:eastAsia="Times New Roman" w:hAnsi="Times New Roman" w:cs="Times New Roman"/>
          <w:sz w:val="24"/>
          <w:szCs w:val="24"/>
          <w:lang w:eastAsia="ru-RU"/>
        </w:rPr>
        <w:t>2</w:t>
      </w:r>
      <w:r w:rsidRPr="001A29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годы </w:t>
      </w:r>
      <w:r w:rsidRPr="001A299F">
        <w:rPr>
          <w:rFonts w:ascii="Times New Roman" w:eastAsia="Times New Roman" w:hAnsi="Times New Roman" w:cs="Times New Roman"/>
          <w:sz w:val="24"/>
          <w:szCs w:val="24"/>
          <w:lang w:eastAsia="ru-RU"/>
        </w:rPr>
        <w:lastRenderedPageBreak/>
        <w:t xml:space="preserve">представлена </w:t>
      </w:r>
      <w:r w:rsidRPr="0063115E">
        <w:rPr>
          <w:rFonts w:ascii="Times New Roman" w:eastAsia="Times New Roman" w:hAnsi="Times New Roman" w:cs="Times New Roman"/>
          <w:sz w:val="24"/>
          <w:szCs w:val="24"/>
          <w:lang w:eastAsia="ru-RU"/>
        </w:rPr>
        <w:t xml:space="preserve">на </w:t>
      </w:r>
      <w:r w:rsidRPr="00783FBA">
        <w:rPr>
          <w:rFonts w:ascii="Times New Roman" w:eastAsia="Times New Roman" w:hAnsi="Times New Roman" w:cs="Times New Roman"/>
          <w:sz w:val="24"/>
          <w:szCs w:val="24"/>
          <w:lang w:eastAsia="ru-RU"/>
        </w:rPr>
        <w:t>рисунке 3</w:t>
      </w:r>
      <w:r w:rsidR="00783FBA" w:rsidRPr="00783FBA">
        <w:rPr>
          <w:rFonts w:ascii="Times New Roman" w:eastAsia="Times New Roman" w:hAnsi="Times New Roman" w:cs="Times New Roman"/>
          <w:sz w:val="24"/>
          <w:szCs w:val="24"/>
          <w:lang w:eastAsia="ru-RU"/>
        </w:rPr>
        <w:t>5</w:t>
      </w:r>
      <w:r w:rsidRPr="00783FBA">
        <w:rPr>
          <w:rFonts w:ascii="Times New Roman" w:eastAsia="Times New Roman" w:hAnsi="Times New Roman" w:cs="Times New Roman"/>
          <w:sz w:val="24"/>
          <w:szCs w:val="24"/>
          <w:lang w:eastAsia="ru-RU"/>
        </w:rPr>
        <w:t>.</w:t>
      </w:r>
    </w:p>
    <w:p w:rsidR="009C45F8" w:rsidRPr="001A299F" w:rsidRDefault="009C45F8" w:rsidP="009C45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45F8" w:rsidRPr="001A299F" w:rsidRDefault="009C45F8" w:rsidP="009C45F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A299F">
        <w:rPr>
          <w:rFonts w:ascii="Times New Roman" w:eastAsia="Times New Roman" w:hAnsi="Times New Roman" w:cs="Times New Roman"/>
          <w:noProof/>
          <w:sz w:val="28"/>
          <w:szCs w:val="28"/>
          <w:lang w:eastAsia="ru-RU"/>
        </w:rPr>
        <w:drawing>
          <wp:inline distT="0" distB="0" distL="0" distR="0" wp14:anchorId="1E6FF8D6" wp14:editId="48A9EDC7">
            <wp:extent cx="6105525" cy="2714625"/>
            <wp:effectExtent l="0" t="0" r="0" b="0"/>
            <wp:docPr id="40"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C45F8" w:rsidRPr="001A299F" w:rsidRDefault="009C45F8" w:rsidP="009C45F8">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783FBA">
        <w:rPr>
          <w:rFonts w:ascii="Times New Roman" w:eastAsia="Times New Roman" w:hAnsi="Times New Roman" w:cs="Times New Roman"/>
          <w:b/>
          <w:sz w:val="24"/>
          <w:szCs w:val="24"/>
          <w:lang w:eastAsia="ru-RU"/>
        </w:rPr>
        <w:t>Рис. 3</w:t>
      </w:r>
      <w:r w:rsidR="00783FBA" w:rsidRPr="00783FBA">
        <w:rPr>
          <w:rFonts w:ascii="Times New Roman" w:eastAsia="Times New Roman" w:hAnsi="Times New Roman" w:cs="Times New Roman"/>
          <w:b/>
          <w:sz w:val="24"/>
          <w:szCs w:val="24"/>
          <w:lang w:eastAsia="ru-RU"/>
        </w:rPr>
        <w:t>5</w:t>
      </w:r>
      <w:r w:rsidRPr="00783FBA">
        <w:rPr>
          <w:rFonts w:ascii="Times New Roman" w:eastAsia="Times New Roman" w:hAnsi="Times New Roman" w:cs="Times New Roman"/>
          <w:b/>
          <w:sz w:val="24"/>
          <w:szCs w:val="24"/>
          <w:lang w:eastAsia="ru-RU"/>
        </w:rPr>
        <w:t xml:space="preserve"> - </w:t>
      </w:r>
      <w:r w:rsidRPr="0063115E">
        <w:rPr>
          <w:rFonts w:ascii="Times New Roman" w:eastAsia="Times New Roman" w:hAnsi="Times New Roman" w:cs="Times New Roman"/>
          <w:b/>
          <w:sz w:val="24"/>
          <w:szCs w:val="24"/>
          <w:lang w:eastAsia="ru-RU"/>
        </w:rPr>
        <w:t xml:space="preserve">Структура </w:t>
      </w:r>
      <w:r w:rsidRPr="001A299F">
        <w:rPr>
          <w:rFonts w:ascii="Times New Roman" w:eastAsia="Times New Roman" w:hAnsi="Times New Roman" w:cs="Times New Roman"/>
          <w:b/>
          <w:sz w:val="24"/>
          <w:szCs w:val="24"/>
          <w:lang w:eastAsia="ru-RU"/>
        </w:rPr>
        <w:t>государственного долга Амурской области за 201</w:t>
      </w:r>
      <w:r>
        <w:rPr>
          <w:rFonts w:ascii="Times New Roman" w:eastAsia="Times New Roman" w:hAnsi="Times New Roman" w:cs="Times New Roman"/>
          <w:b/>
          <w:sz w:val="24"/>
          <w:szCs w:val="24"/>
          <w:lang w:eastAsia="ru-RU"/>
        </w:rPr>
        <w:t>2</w:t>
      </w:r>
      <w:r w:rsidRPr="001A299F">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годы, в процентах</w:t>
      </w:r>
    </w:p>
    <w:p w:rsidR="009C45F8" w:rsidRPr="00AB698F" w:rsidRDefault="009C45F8" w:rsidP="009C45F8">
      <w:pPr>
        <w:spacing w:after="0" w:line="240" w:lineRule="auto"/>
        <w:ind w:firstLine="708"/>
        <w:jc w:val="both"/>
        <w:rPr>
          <w:rFonts w:ascii="Times New Roman" w:hAnsi="Times New Roman" w:cs="Times New Roman"/>
          <w:sz w:val="24"/>
          <w:szCs w:val="24"/>
        </w:rPr>
      </w:pPr>
      <w:r w:rsidRPr="00AB698F">
        <w:rPr>
          <w:rFonts w:ascii="Times New Roman" w:hAnsi="Times New Roman" w:cs="Times New Roman"/>
          <w:sz w:val="24"/>
          <w:szCs w:val="24"/>
        </w:rPr>
        <w:t xml:space="preserve">Законом Амурской области </w:t>
      </w:r>
      <w:r w:rsidRPr="00AB698F">
        <w:rPr>
          <w:rFonts w:ascii="Times New Roman" w:hAnsi="Times New Roman" w:cs="Times New Roman"/>
          <w:iCs/>
          <w:spacing w:val="-3"/>
          <w:sz w:val="24"/>
          <w:szCs w:val="24"/>
        </w:rPr>
        <w:t xml:space="preserve">от 20.12.2016 № 27-ОЗ «Об областном бюджете на </w:t>
      </w:r>
      <w:r w:rsidRPr="00AB698F">
        <w:rPr>
          <w:rFonts w:ascii="Times New Roman" w:hAnsi="Times New Roman" w:cs="Times New Roman"/>
          <w:iCs/>
          <w:spacing w:val="-3"/>
          <w:sz w:val="24"/>
          <w:szCs w:val="24"/>
        </w:rPr>
        <w:br/>
        <w:t xml:space="preserve">2017 год и плановый период 2018 и 2019 годов» (в редакции Закона Амурской области от 21.12.2017 № 161-ОЗ) </w:t>
      </w:r>
      <w:r w:rsidRPr="00AB698F">
        <w:rPr>
          <w:rFonts w:ascii="Times New Roman" w:hAnsi="Times New Roman" w:cs="Times New Roman"/>
          <w:sz w:val="24"/>
          <w:szCs w:val="24"/>
        </w:rPr>
        <w:t xml:space="preserve">утверждена Программа государственных внутренних заимствований Амурской области на 2017 год и плановый период 2018 и 2019 годов (Приложение № 9) с указанием объема привлечения и объема средств, направляемых на погашение основной суммы долга, по каждому виду заимствований, что соответствует требованиям статьи </w:t>
      </w:r>
      <w:r w:rsidR="00783FBA">
        <w:rPr>
          <w:rFonts w:ascii="Times New Roman" w:hAnsi="Times New Roman" w:cs="Times New Roman"/>
          <w:sz w:val="24"/>
          <w:szCs w:val="24"/>
        </w:rPr>
        <w:br/>
      </w:r>
      <w:r w:rsidRPr="00AB698F">
        <w:rPr>
          <w:rFonts w:ascii="Times New Roman" w:hAnsi="Times New Roman" w:cs="Times New Roman"/>
          <w:sz w:val="24"/>
          <w:szCs w:val="24"/>
        </w:rPr>
        <w:t>110.1 Бюджетног</w:t>
      </w:r>
      <w:r w:rsidR="00E5269A">
        <w:rPr>
          <w:rFonts w:ascii="Times New Roman" w:hAnsi="Times New Roman" w:cs="Times New Roman"/>
          <w:sz w:val="24"/>
          <w:szCs w:val="24"/>
        </w:rPr>
        <w:t>о кодекса Российской Федерации.</w:t>
      </w:r>
    </w:p>
    <w:p w:rsidR="009C45F8" w:rsidRPr="00AB698F" w:rsidRDefault="009C45F8" w:rsidP="009C45F8">
      <w:pPr>
        <w:spacing w:after="0" w:line="240" w:lineRule="auto"/>
        <w:ind w:firstLine="708"/>
        <w:jc w:val="both"/>
        <w:rPr>
          <w:rFonts w:ascii="Times New Roman" w:hAnsi="Times New Roman" w:cs="Times New Roman"/>
          <w:sz w:val="24"/>
          <w:szCs w:val="24"/>
        </w:rPr>
      </w:pPr>
      <w:r w:rsidRPr="00AB698F">
        <w:rPr>
          <w:rFonts w:ascii="Times New Roman" w:hAnsi="Times New Roman" w:cs="Times New Roman"/>
          <w:sz w:val="24"/>
          <w:szCs w:val="24"/>
        </w:rPr>
        <w:t>В соответствии с Программой государственных внутренних заимствований получение кредитов от других бюджетов бюджетной системы Российской Федерации бюджетами субъектов Российской Федерации на 2017 год предусмотрено в сумме 1289442,0 тыс. рублей, погашение бюджетных кредитов – 2707497,5 тыс. рублей. В 2017 году привлечено бюджетных кредитов в объеме 1289442,0 тыс. рублей, или 100,0 процентов средств, предусмотренных Программой, погашено бюджетных кредитов – 2707497,5 тыс. рублей, или 100,0 процентов средств, предусмотренных Программой.</w:t>
      </w:r>
    </w:p>
    <w:p w:rsidR="009C45F8" w:rsidRPr="00AB698F" w:rsidRDefault="009C45F8" w:rsidP="009C45F8">
      <w:pPr>
        <w:spacing w:after="0" w:line="240" w:lineRule="auto"/>
        <w:jc w:val="both"/>
        <w:rPr>
          <w:rFonts w:ascii="Times New Roman" w:hAnsi="Times New Roman" w:cs="Times New Roman"/>
          <w:sz w:val="24"/>
          <w:szCs w:val="24"/>
        </w:rPr>
      </w:pPr>
      <w:r w:rsidRPr="00AB698F">
        <w:rPr>
          <w:rFonts w:ascii="Times New Roman" w:hAnsi="Times New Roman" w:cs="Times New Roman"/>
          <w:color w:val="FF0000"/>
          <w:sz w:val="24"/>
          <w:szCs w:val="24"/>
        </w:rPr>
        <w:tab/>
      </w:r>
      <w:r w:rsidRPr="00AB698F">
        <w:rPr>
          <w:rFonts w:ascii="Times New Roman" w:hAnsi="Times New Roman" w:cs="Times New Roman"/>
          <w:sz w:val="24"/>
          <w:szCs w:val="24"/>
        </w:rPr>
        <w:t>Бюджету Амурской области в 2017 году из федерального бюджета предоставлены бюджетные кредиты для частичного покрытия дефицита бюджета Амурской области:</w:t>
      </w:r>
    </w:p>
    <w:p w:rsidR="009C45F8" w:rsidRPr="00AB698F" w:rsidRDefault="009C45F8" w:rsidP="00783FBA">
      <w:pPr>
        <w:tabs>
          <w:tab w:val="left" w:pos="2492"/>
        </w:tabs>
        <w:spacing w:after="0" w:line="240" w:lineRule="auto"/>
        <w:ind w:firstLine="709"/>
        <w:jc w:val="both"/>
        <w:rPr>
          <w:rFonts w:ascii="Times New Roman" w:hAnsi="Times New Roman" w:cs="Times New Roman"/>
          <w:sz w:val="24"/>
          <w:szCs w:val="24"/>
        </w:rPr>
      </w:pPr>
      <w:r w:rsidRPr="00AB698F">
        <w:rPr>
          <w:rFonts w:ascii="Times New Roman" w:hAnsi="Times New Roman" w:cs="Times New Roman"/>
          <w:sz w:val="24"/>
          <w:szCs w:val="24"/>
        </w:rPr>
        <w:t xml:space="preserve">- в сумме 887180,0 тыс. рублей со сроком возврата – 354872,0 тыс. рублей - 23.11.2021, 532308,0 тыс. рублей – 21.02.2022, с уплатой процентов в размере 0,1 процента </w:t>
      </w:r>
      <w:r w:rsidRPr="00783FBA">
        <w:rPr>
          <w:rFonts w:ascii="Times New Roman" w:hAnsi="Times New Roman" w:cs="Times New Roman"/>
          <w:sz w:val="24"/>
          <w:szCs w:val="24"/>
        </w:rPr>
        <w:t xml:space="preserve">годовых (соглашение </w:t>
      </w:r>
      <w:r w:rsidRPr="00AB698F">
        <w:rPr>
          <w:rFonts w:ascii="Times New Roman" w:hAnsi="Times New Roman" w:cs="Times New Roman"/>
          <w:sz w:val="24"/>
          <w:szCs w:val="24"/>
        </w:rPr>
        <w:t>от 20.02.2017 № 01-01-06/06-45);</w:t>
      </w:r>
    </w:p>
    <w:p w:rsidR="009C45F8" w:rsidRDefault="009C45F8" w:rsidP="00783FBA">
      <w:pPr>
        <w:tabs>
          <w:tab w:val="left" w:pos="2492"/>
        </w:tabs>
        <w:spacing w:after="0" w:line="240" w:lineRule="auto"/>
        <w:ind w:firstLine="709"/>
        <w:jc w:val="both"/>
        <w:rPr>
          <w:rFonts w:ascii="Times New Roman" w:hAnsi="Times New Roman" w:cs="Times New Roman"/>
          <w:sz w:val="24"/>
          <w:szCs w:val="24"/>
        </w:rPr>
      </w:pPr>
      <w:r w:rsidRPr="00AB698F">
        <w:rPr>
          <w:rFonts w:ascii="Times New Roman" w:hAnsi="Times New Roman" w:cs="Times New Roman"/>
          <w:sz w:val="24"/>
          <w:szCs w:val="24"/>
        </w:rPr>
        <w:t>- в сумме 402262,0 тыс. рублей со сроком возврата – 160904,8 тыс. рублей - 23.11.2021, 241357,2 тыс. рублей – 11.07.2022, с уплатой процентов в размере 0,1 процента годовых (соглашение от 26.07.2017 № 01-01-06/06-199).</w:t>
      </w:r>
    </w:p>
    <w:p w:rsidR="009C45F8" w:rsidRPr="00374F57" w:rsidRDefault="009C45F8" w:rsidP="009C45F8">
      <w:pPr>
        <w:tabs>
          <w:tab w:val="left" w:pos="2492"/>
        </w:tabs>
        <w:spacing w:after="0" w:line="240" w:lineRule="auto"/>
        <w:ind w:firstLine="709"/>
        <w:jc w:val="both"/>
        <w:rPr>
          <w:rFonts w:ascii="Times New Roman" w:hAnsi="Times New Roman" w:cs="Times New Roman"/>
          <w:sz w:val="24"/>
          <w:szCs w:val="24"/>
        </w:rPr>
      </w:pPr>
      <w:r w:rsidRPr="00374F57">
        <w:rPr>
          <w:rFonts w:ascii="Times New Roman" w:hAnsi="Times New Roman" w:cs="Times New Roman"/>
          <w:sz w:val="24"/>
          <w:szCs w:val="24"/>
        </w:rPr>
        <w:t xml:space="preserve">Соглашениями о предоставлении в 2017 году бюджету Амурской области из федерального бюджета бюджетных кредитов (п.3.2. соглашений) предусмотрено, что в течение 60 календарных дней (по кредиту, предоставленному на сумму 887180,0 тыс. рублей), в течение 30 календарных дней (по кредиту, предоставленному на сумму </w:t>
      </w:r>
      <w:r w:rsidR="00783FBA">
        <w:rPr>
          <w:rFonts w:ascii="Times New Roman" w:hAnsi="Times New Roman" w:cs="Times New Roman"/>
          <w:sz w:val="24"/>
          <w:szCs w:val="24"/>
        </w:rPr>
        <w:br/>
      </w:r>
      <w:r w:rsidRPr="00374F57">
        <w:rPr>
          <w:rFonts w:ascii="Times New Roman" w:hAnsi="Times New Roman" w:cs="Times New Roman"/>
          <w:sz w:val="24"/>
          <w:szCs w:val="24"/>
        </w:rPr>
        <w:t xml:space="preserve">402262,0 тыс. рублей) с момента поступления бюджетного кредита на счет Управления федерального казначейства по Амурской области необходимо осуществить погашение долговых обязательств субъекта Российской Федерации по бюджетным кредитам и (или) кредитам, полученным субъектом Российской Федерации от кредитных организаций, иностранных банков и международных финансовых организаций, и (или) погашение обязательств по государственным ценным бумагам субъекта Российской Федерации, дата </w:t>
      </w:r>
      <w:r w:rsidRPr="00374F57">
        <w:rPr>
          <w:rFonts w:ascii="Times New Roman" w:hAnsi="Times New Roman" w:cs="Times New Roman"/>
          <w:sz w:val="24"/>
          <w:szCs w:val="24"/>
        </w:rPr>
        <w:lastRenderedPageBreak/>
        <w:t>погашения которых, предусмотренная условиями эмиссии, установлена в п</w:t>
      </w:r>
      <w:r w:rsidR="00E5269A">
        <w:rPr>
          <w:rFonts w:ascii="Times New Roman" w:hAnsi="Times New Roman" w:cs="Times New Roman"/>
          <w:sz w:val="24"/>
          <w:szCs w:val="24"/>
        </w:rPr>
        <w:t>ределах срока, указанного выше.</w:t>
      </w:r>
    </w:p>
    <w:p w:rsidR="009C45F8" w:rsidRPr="00374F57" w:rsidRDefault="009C45F8" w:rsidP="009C45F8">
      <w:pPr>
        <w:tabs>
          <w:tab w:val="left" w:pos="2492"/>
        </w:tabs>
        <w:spacing w:after="0" w:line="240" w:lineRule="auto"/>
        <w:ind w:firstLine="709"/>
        <w:jc w:val="both"/>
        <w:rPr>
          <w:rFonts w:ascii="Times New Roman" w:hAnsi="Times New Roman" w:cs="Times New Roman"/>
          <w:sz w:val="24"/>
          <w:szCs w:val="24"/>
        </w:rPr>
      </w:pPr>
      <w:r w:rsidRPr="00374F57">
        <w:rPr>
          <w:rFonts w:ascii="Times New Roman" w:hAnsi="Times New Roman" w:cs="Times New Roman"/>
          <w:sz w:val="24"/>
          <w:szCs w:val="24"/>
        </w:rPr>
        <w:t>Министерством финансов Амурской области во исполнение указанного пункта соглашений за счет полученных в 2017 году бюджетных кредитов на сумму 1289442,0 тыс. рублей осуществлено погашение кредита в сумме 887180,0 тыс. рублей (платежное поручение от 27.02.2017 № 18 – досрочное частичное погашение основного долга), привлеченного в Благовещенском отделении № 8636 ПАО «Сбербанк» в 2016 году, погашение кредита в сумме 402262,0 тыс. рублей (платежное поручение от 31.07.2017 № 91 – досрочное полное погашение основного долга), привлеченного в «Газпромбанк» (Акционерное общество) в 2016 г</w:t>
      </w:r>
      <w:r w:rsidR="00E5269A">
        <w:rPr>
          <w:rFonts w:ascii="Times New Roman" w:hAnsi="Times New Roman" w:cs="Times New Roman"/>
          <w:sz w:val="24"/>
          <w:szCs w:val="24"/>
        </w:rPr>
        <w:t>оду.</w:t>
      </w:r>
    </w:p>
    <w:p w:rsidR="009C45F8" w:rsidRPr="00374F57" w:rsidRDefault="009C45F8" w:rsidP="009C45F8">
      <w:pPr>
        <w:tabs>
          <w:tab w:val="left" w:pos="2492"/>
        </w:tabs>
        <w:spacing w:after="0" w:line="240" w:lineRule="auto"/>
        <w:ind w:firstLine="709"/>
        <w:jc w:val="both"/>
        <w:rPr>
          <w:rFonts w:ascii="Times New Roman" w:hAnsi="Times New Roman" w:cs="Times New Roman"/>
          <w:sz w:val="24"/>
          <w:szCs w:val="24"/>
        </w:rPr>
      </w:pPr>
      <w:r w:rsidRPr="00374F57">
        <w:rPr>
          <w:rFonts w:ascii="Times New Roman" w:hAnsi="Times New Roman" w:cs="Times New Roman"/>
          <w:sz w:val="24"/>
          <w:szCs w:val="24"/>
        </w:rPr>
        <w:t>Кроме того, пунктом 3.2. соглашений о предоставлении в 2017 году бюджету Амурской области из федерального бюджета бюджетных кредитов для заемщика (министерство финансов Амурской области) предусмотрены обязательства (условия) о выполнении которых  заемщик обязан ежегодно, не позднее 25 января года, следующего за отчетным, предоставлять кредитору (Министерство финансов Российской Федерации) информацию по форме согл</w:t>
      </w:r>
      <w:r w:rsidR="00E5269A">
        <w:rPr>
          <w:rFonts w:ascii="Times New Roman" w:hAnsi="Times New Roman" w:cs="Times New Roman"/>
          <w:sz w:val="24"/>
          <w:szCs w:val="24"/>
        </w:rPr>
        <w:t>асно приложению к соглашениям.</w:t>
      </w:r>
    </w:p>
    <w:p w:rsidR="009C45F8" w:rsidRDefault="009C45F8" w:rsidP="009C45F8">
      <w:pPr>
        <w:tabs>
          <w:tab w:val="left" w:pos="2492"/>
        </w:tabs>
        <w:spacing w:after="0" w:line="240" w:lineRule="auto"/>
        <w:ind w:firstLine="709"/>
        <w:jc w:val="both"/>
        <w:rPr>
          <w:rFonts w:ascii="Times New Roman" w:hAnsi="Times New Roman" w:cs="Times New Roman"/>
          <w:sz w:val="24"/>
          <w:szCs w:val="24"/>
        </w:rPr>
      </w:pPr>
      <w:r w:rsidRPr="00374F57">
        <w:rPr>
          <w:rFonts w:ascii="Times New Roman" w:hAnsi="Times New Roman" w:cs="Times New Roman"/>
          <w:sz w:val="24"/>
          <w:szCs w:val="24"/>
        </w:rPr>
        <w:t>Министерством финансов Амурской области направлена информация о выполнении условий, определенных соглашениями о предоставлении в 2017 году бюджету Амурской области из федерального бюджета бюджетных кредитов в Министерство финансов Российской Федерации (исх. от 22.01.2018 № 02/Б-10/420), согласно которой условия, определенные  указанными соглашениями министерством финан</w:t>
      </w:r>
      <w:r w:rsidR="00E5269A">
        <w:rPr>
          <w:rFonts w:ascii="Times New Roman" w:hAnsi="Times New Roman" w:cs="Times New Roman"/>
          <w:sz w:val="24"/>
          <w:szCs w:val="24"/>
        </w:rPr>
        <w:t>сов Амурской области соблюдены.</w:t>
      </w:r>
    </w:p>
    <w:p w:rsidR="009C45F8" w:rsidRPr="00AB698F" w:rsidRDefault="00783FBA" w:rsidP="009C45F8">
      <w:pPr>
        <w:tabs>
          <w:tab w:val="left" w:pos="709"/>
          <w:tab w:val="left" w:pos="851"/>
          <w:tab w:val="left" w:pos="24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45F8" w:rsidRPr="00AB698F">
        <w:rPr>
          <w:rFonts w:ascii="Times New Roman" w:hAnsi="Times New Roman" w:cs="Times New Roman"/>
          <w:sz w:val="24"/>
          <w:szCs w:val="24"/>
        </w:rPr>
        <w:t>Между Министерством финансов Российской Федерации и министерством финансов Амурской области заключены дополнительные соглашения от 25.12.2017 №1 к соглашениям от 20.02.2017 № 01-01-06/06-45, от 26.07.2017 № 01-01-06/06-199, которыми предусмотрена реструктуризация обязательств (задолженности) на сумму 1289442,0 тыс. рублей по  бюджетным кредитам, предоставленным бюджету Амурской области</w:t>
      </w:r>
      <w:r w:rsidR="009C45F8">
        <w:rPr>
          <w:rFonts w:ascii="Times New Roman" w:hAnsi="Times New Roman" w:cs="Times New Roman"/>
          <w:sz w:val="24"/>
          <w:szCs w:val="24"/>
        </w:rPr>
        <w:t xml:space="preserve"> в 2017 году</w:t>
      </w:r>
      <w:r w:rsidR="009C45F8" w:rsidRPr="00AB698F">
        <w:rPr>
          <w:rFonts w:ascii="Times New Roman" w:hAnsi="Times New Roman" w:cs="Times New Roman"/>
          <w:sz w:val="24"/>
          <w:szCs w:val="24"/>
        </w:rPr>
        <w:t>. Возврат реструктурированной задолженности осуществляется в период с 2018 по 2024 год включительно, в 2018-2019 годах в размере 5 процентов суммы задолженности ежегодно, в 2020 году в размере 10 процентов суммы задолженности, в 2021-2024 годах равными долями по 20 процентов суммы задолженности ежегодно в соответствии с графиками погашения реструктурированной задолженности и (или) уплаты  процентов за рассрочку.</w:t>
      </w:r>
    </w:p>
    <w:p w:rsidR="009C45F8" w:rsidRPr="00AB698F" w:rsidRDefault="009C45F8" w:rsidP="00E5269A">
      <w:pPr>
        <w:tabs>
          <w:tab w:val="left" w:pos="2492"/>
        </w:tabs>
        <w:spacing w:after="0" w:line="288" w:lineRule="auto"/>
        <w:ind w:firstLine="709"/>
        <w:jc w:val="both"/>
        <w:rPr>
          <w:rFonts w:ascii="Times New Roman" w:hAnsi="Times New Roman" w:cs="Times New Roman"/>
          <w:sz w:val="24"/>
          <w:szCs w:val="24"/>
        </w:rPr>
      </w:pPr>
      <w:r w:rsidRPr="00AB698F">
        <w:rPr>
          <w:rFonts w:ascii="Times New Roman" w:hAnsi="Times New Roman" w:cs="Times New Roman"/>
          <w:sz w:val="24"/>
          <w:szCs w:val="24"/>
        </w:rPr>
        <w:t xml:space="preserve">Кроме того, между Министерством финансов Российской Федерации и министерством финансов Амурской области заключены дополнительные соглашения от 25.12.2017 №1 к соглашениям  от 08.10.2015 № 01-01-06/06-166 (на сумму  600000,0 тыс. рублей), от 23.12.2015 № 01-01-06/06-261 (на сумму 92985,0 тыс. рублей), от 24.12.2015 </w:t>
      </w:r>
      <w:r>
        <w:rPr>
          <w:rFonts w:ascii="Times New Roman" w:hAnsi="Times New Roman" w:cs="Times New Roman"/>
          <w:sz w:val="24"/>
          <w:szCs w:val="24"/>
        </w:rPr>
        <w:br/>
      </w:r>
      <w:r w:rsidRPr="00AB698F">
        <w:rPr>
          <w:rFonts w:ascii="Times New Roman" w:hAnsi="Times New Roman" w:cs="Times New Roman"/>
          <w:sz w:val="24"/>
          <w:szCs w:val="24"/>
        </w:rPr>
        <w:t xml:space="preserve">№ 01-01-06/06-266 (на сумму 216000,0 тыс. рублей), от 24.02.2016 № 01-01-06/06-31 (на сумму 10331844,0 тыс. рублей), от 11.11.2016 № 01-01-06/06-247 (на сумму 1015397,0 тыс. рублей), дополнительное соглашение от 25.12.2017 № 2 к соглашению от 28.09.2015 </w:t>
      </w:r>
      <w:r>
        <w:rPr>
          <w:rFonts w:ascii="Times New Roman" w:hAnsi="Times New Roman" w:cs="Times New Roman"/>
          <w:sz w:val="24"/>
          <w:szCs w:val="24"/>
        </w:rPr>
        <w:br/>
      </w:r>
      <w:r w:rsidRPr="00AB698F">
        <w:rPr>
          <w:rFonts w:ascii="Times New Roman" w:hAnsi="Times New Roman" w:cs="Times New Roman"/>
          <w:sz w:val="24"/>
          <w:szCs w:val="24"/>
        </w:rPr>
        <w:t>№ 01-01-06/06-154 (на сумму 1362707,5 тыс. рублей), которыми предусмотрена реструктуризация обязательств (задолженности) на общую сумму 13618933,5 тыс. рублей по бюджетным кредитам, предоставленным бюджету Амурской области в 2015-2016 годах. Возврат реструктурированной задолженности по бюджетным кредитам, предоставленным бюджету Амурской области в 2015-2016 годах осуществляется в период с 2018 по 2024 год включительно аналогично возврату реструктурированной задолженности по бюджетным кредитам</w:t>
      </w:r>
      <w:r w:rsidR="00E5269A">
        <w:rPr>
          <w:rFonts w:ascii="Times New Roman" w:hAnsi="Times New Roman" w:cs="Times New Roman"/>
          <w:sz w:val="24"/>
          <w:szCs w:val="24"/>
        </w:rPr>
        <w:t>, предоставленным в 2017 году.</w:t>
      </w:r>
    </w:p>
    <w:p w:rsidR="009C45F8" w:rsidRPr="00AB698F" w:rsidRDefault="009C45F8" w:rsidP="00E5269A">
      <w:pPr>
        <w:spacing w:after="0" w:line="288" w:lineRule="auto"/>
        <w:ind w:firstLine="709"/>
        <w:jc w:val="both"/>
        <w:rPr>
          <w:rFonts w:ascii="Times New Roman" w:hAnsi="Times New Roman" w:cs="Times New Roman"/>
          <w:sz w:val="24"/>
          <w:szCs w:val="24"/>
        </w:rPr>
      </w:pPr>
      <w:r w:rsidRPr="00AB698F">
        <w:rPr>
          <w:rFonts w:ascii="Times New Roman" w:hAnsi="Times New Roman" w:cs="Times New Roman"/>
          <w:color w:val="FF0000"/>
          <w:sz w:val="24"/>
          <w:szCs w:val="24"/>
        </w:rPr>
        <w:tab/>
      </w:r>
      <w:r w:rsidRPr="00AB698F">
        <w:rPr>
          <w:rFonts w:ascii="Times New Roman" w:hAnsi="Times New Roman" w:cs="Times New Roman"/>
          <w:sz w:val="24"/>
          <w:szCs w:val="24"/>
        </w:rPr>
        <w:t>На 01.01.2018 общий объем долговых обязательств областного бюджета по бюджетным кредитам составил 18606739,1 тыс. рублей, что меньше по сравнению с началом года на 1418055,5 т</w:t>
      </w:r>
      <w:r w:rsidR="00E5269A">
        <w:rPr>
          <w:rFonts w:ascii="Times New Roman" w:hAnsi="Times New Roman" w:cs="Times New Roman"/>
          <w:sz w:val="24"/>
          <w:szCs w:val="24"/>
        </w:rPr>
        <w:t>ыс. рублей, или 7,1 процента.</w:t>
      </w:r>
    </w:p>
    <w:p w:rsidR="00E5269A" w:rsidRDefault="00E5269A" w:rsidP="009C45F8">
      <w:pPr>
        <w:widowControl w:val="0"/>
        <w:tabs>
          <w:tab w:val="left" w:pos="249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C45F8" w:rsidRPr="001A299F" w:rsidRDefault="009C45F8" w:rsidP="009C45F8">
      <w:pPr>
        <w:widowControl w:val="0"/>
        <w:tabs>
          <w:tab w:val="left" w:pos="2492"/>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Pr="001A299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1A299F">
        <w:rPr>
          <w:rFonts w:ascii="Times New Roman" w:eastAsia="Times New Roman" w:hAnsi="Times New Roman" w:cs="Times New Roman"/>
          <w:b/>
          <w:sz w:val="24"/>
          <w:szCs w:val="24"/>
          <w:lang w:eastAsia="ru-RU"/>
        </w:rPr>
        <w:t>Привлечение кредитов в коммерческих банках в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году</w:t>
      </w:r>
    </w:p>
    <w:p w:rsidR="009C45F8" w:rsidRPr="005C7D02" w:rsidRDefault="009C45F8" w:rsidP="009C45F8">
      <w:pPr>
        <w:spacing w:after="0" w:line="240" w:lineRule="auto"/>
        <w:ind w:firstLine="708"/>
        <w:jc w:val="both"/>
        <w:rPr>
          <w:rFonts w:ascii="Times New Roman" w:hAnsi="Times New Roman" w:cs="Times New Roman"/>
          <w:sz w:val="24"/>
          <w:szCs w:val="24"/>
        </w:rPr>
      </w:pPr>
      <w:r w:rsidRPr="005C7D02">
        <w:rPr>
          <w:rFonts w:ascii="Times New Roman" w:hAnsi="Times New Roman" w:cs="Times New Roman"/>
          <w:sz w:val="24"/>
          <w:szCs w:val="24"/>
        </w:rPr>
        <w:t xml:space="preserve">Получение областным бюджетом кредитов от кредитных организаций предусмотрено Программой государственных внутренних заимствований на 2017 год в сумме </w:t>
      </w:r>
      <w:r w:rsidR="00783FBA">
        <w:rPr>
          <w:rFonts w:ascii="Times New Roman" w:hAnsi="Times New Roman" w:cs="Times New Roman"/>
          <w:sz w:val="24"/>
          <w:szCs w:val="24"/>
        </w:rPr>
        <w:br/>
      </w:r>
      <w:r w:rsidRPr="005C7D02">
        <w:rPr>
          <w:rFonts w:ascii="Times New Roman" w:hAnsi="Times New Roman" w:cs="Times New Roman"/>
          <w:sz w:val="24"/>
          <w:szCs w:val="24"/>
        </w:rPr>
        <w:t>9118287,1 тыс. рублей, погашение кредитов, предоставленных кредитными организациями – 10518428,2 тыс. рубл</w:t>
      </w:r>
      <w:r w:rsidR="00E5269A">
        <w:rPr>
          <w:rFonts w:ascii="Times New Roman" w:hAnsi="Times New Roman" w:cs="Times New Roman"/>
          <w:sz w:val="24"/>
          <w:szCs w:val="24"/>
        </w:rPr>
        <w:t>ей.</w:t>
      </w:r>
    </w:p>
    <w:p w:rsidR="009C45F8" w:rsidRPr="005C7D02" w:rsidRDefault="009C45F8" w:rsidP="00783FBA">
      <w:pPr>
        <w:spacing w:after="0" w:line="240" w:lineRule="auto"/>
        <w:ind w:firstLine="708"/>
        <w:jc w:val="both"/>
        <w:rPr>
          <w:rFonts w:ascii="Times New Roman" w:hAnsi="Times New Roman" w:cs="Times New Roman"/>
          <w:sz w:val="24"/>
          <w:szCs w:val="24"/>
        </w:rPr>
      </w:pPr>
      <w:r w:rsidRPr="005C7D02">
        <w:rPr>
          <w:rFonts w:ascii="Times New Roman" w:hAnsi="Times New Roman" w:cs="Times New Roman"/>
          <w:sz w:val="24"/>
          <w:szCs w:val="24"/>
        </w:rPr>
        <w:t xml:space="preserve">На начало отчетного периода долг областного бюджета по заимствованию средств в коммерческих банках составил 10518428,2 тыс. рублей. Объем задолженности сложился по государственным контрактам, заключенным с Благовещенским отделением № 8636 публичного акционерного общества  «Сбербанк» - 8146850,2 тыс. рублей и «Газпромбанк» (Акционерное общество) – 2371578,0 тыс. рублей. В соответствии с Программой государственных внутренних заимствований области в 2017 году привлечено кредитных ресурсов в коммерческих банках на общую сумму 9059095,8 тыс. рублей, или 99,4 процента объема средств, предусмотренных Программой. Кредитором областного бюджета в </w:t>
      </w:r>
      <w:r>
        <w:rPr>
          <w:rFonts w:ascii="Times New Roman" w:hAnsi="Times New Roman" w:cs="Times New Roman"/>
          <w:sz w:val="24"/>
          <w:szCs w:val="24"/>
        </w:rPr>
        <w:br/>
      </w:r>
      <w:r w:rsidRPr="005C7D02">
        <w:rPr>
          <w:rFonts w:ascii="Times New Roman" w:hAnsi="Times New Roman" w:cs="Times New Roman"/>
          <w:sz w:val="24"/>
          <w:szCs w:val="24"/>
        </w:rPr>
        <w:t>2017 году являлось Благовещенское отделение № 8636 публичного ак</w:t>
      </w:r>
      <w:r w:rsidR="00E5269A">
        <w:rPr>
          <w:rFonts w:ascii="Times New Roman" w:hAnsi="Times New Roman" w:cs="Times New Roman"/>
          <w:sz w:val="24"/>
          <w:szCs w:val="24"/>
        </w:rPr>
        <w:t>ционерного общества «Сбербанк».</w:t>
      </w:r>
    </w:p>
    <w:p w:rsidR="009C45F8" w:rsidRPr="005C7D02" w:rsidRDefault="009C45F8" w:rsidP="009C45F8">
      <w:pPr>
        <w:spacing w:after="0" w:line="240" w:lineRule="auto"/>
        <w:ind w:firstLine="708"/>
        <w:jc w:val="both"/>
        <w:rPr>
          <w:rFonts w:ascii="Times New Roman" w:hAnsi="Times New Roman" w:cs="Times New Roman"/>
          <w:sz w:val="24"/>
          <w:szCs w:val="24"/>
        </w:rPr>
      </w:pPr>
      <w:r w:rsidRPr="005C7D02">
        <w:rPr>
          <w:rFonts w:ascii="Times New Roman" w:hAnsi="Times New Roman" w:cs="Times New Roman"/>
          <w:sz w:val="24"/>
          <w:szCs w:val="24"/>
        </w:rPr>
        <w:t>На погашение кредитов, предоставленных кредитными организациями, в 2017 году направлено 10518428,2 тыс. рублей, или 100,0 процентов средств, предусмотренных на указанные цели Программой (задолженность по кредитам коммерческих банков, числящаяся на 01.01.2017 погашена в пол</w:t>
      </w:r>
      <w:r w:rsidR="00E5269A">
        <w:rPr>
          <w:rFonts w:ascii="Times New Roman" w:hAnsi="Times New Roman" w:cs="Times New Roman"/>
          <w:sz w:val="24"/>
          <w:szCs w:val="24"/>
        </w:rPr>
        <w:t>ном объеме).</w:t>
      </w:r>
    </w:p>
    <w:p w:rsidR="009C45F8" w:rsidRPr="005C7D02" w:rsidRDefault="009C45F8" w:rsidP="009C45F8">
      <w:pPr>
        <w:tabs>
          <w:tab w:val="left" w:pos="709"/>
        </w:tabs>
        <w:spacing w:after="0" w:line="240" w:lineRule="auto"/>
        <w:ind w:firstLine="709"/>
        <w:jc w:val="both"/>
        <w:rPr>
          <w:rFonts w:ascii="Times New Roman" w:hAnsi="Times New Roman" w:cs="Times New Roman"/>
          <w:sz w:val="24"/>
          <w:szCs w:val="24"/>
        </w:rPr>
      </w:pPr>
      <w:r w:rsidRPr="005C7D02">
        <w:rPr>
          <w:rFonts w:ascii="Times New Roman" w:hAnsi="Times New Roman" w:cs="Times New Roman"/>
          <w:sz w:val="24"/>
          <w:szCs w:val="24"/>
        </w:rPr>
        <w:t>На 01.01.2018 общий объем долговых обязательств областного бюджета по кредитам коммерческих банков составил 9059095,8 тыс. рублей и уменьшился по сравнению с началом года на 1459332,4 ты</w:t>
      </w:r>
      <w:r w:rsidR="00E5269A">
        <w:rPr>
          <w:rFonts w:ascii="Times New Roman" w:hAnsi="Times New Roman" w:cs="Times New Roman"/>
          <w:sz w:val="24"/>
          <w:szCs w:val="24"/>
        </w:rPr>
        <w:t>с. рублей, или 13,9 процента.</w:t>
      </w:r>
    </w:p>
    <w:p w:rsidR="009C45F8" w:rsidRPr="001A299F" w:rsidRDefault="009C45F8" w:rsidP="009C45F8">
      <w:pPr>
        <w:widowControl w:val="0"/>
        <w:tabs>
          <w:tab w:val="left" w:pos="1841"/>
        </w:tabs>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.2. Предоставление государственных гарантий Амурской области в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году</w:t>
      </w:r>
    </w:p>
    <w:p w:rsidR="009C45F8" w:rsidRPr="0037464E" w:rsidRDefault="009C45F8" w:rsidP="009C45F8">
      <w:pPr>
        <w:shd w:val="clear" w:color="auto" w:fill="FFFFFF"/>
        <w:spacing w:after="0" w:line="240" w:lineRule="auto"/>
        <w:ind w:firstLine="709"/>
        <w:jc w:val="both"/>
        <w:rPr>
          <w:rFonts w:ascii="Times New Roman" w:hAnsi="Times New Roman" w:cs="Times New Roman"/>
          <w:sz w:val="24"/>
          <w:szCs w:val="24"/>
        </w:rPr>
      </w:pPr>
      <w:r w:rsidRPr="0037464E">
        <w:rPr>
          <w:rFonts w:ascii="Times New Roman" w:hAnsi="Times New Roman" w:cs="Times New Roman"/>
          <w:iCs/>
          <w:spacing w:val="-3"/>
          <w:sz w:val="24"/>
          <w:szCs w:val="24"/>
        </w:rPr>
        <w:t>Статьей  6 Закона Амурской области от 20.12.2016 № 27-ОЗ «Об областном бюджете на 2017 год и плановый период 2018 и 2019 годов» (в редакции Закона Амурской области от 21.12.2017 № 161-ОЗ) утвер</w:t>
      </w:r>
      <w:r w:rsidRPr="0037464E">
        <w:rPr>
          <w:rFonts w:ascii="Times New Roman" w:hAnsi="Times New Roman" w:cs="Times New Roman"/>
          <w:sz w:val="24"/>
          <w:szCs w:val="24"/>
        </w:rPr>
        <w:t>ждена Программа предоставления государственных гарантий Амурской области на 2017 год  в сумме 50000,0 тыс. рублей (Приложение № 10).  Направление (цель) гарантирования – по кредитам, привлекаемым хозяйствующими субъектами Амурской области на реконструкцию зданий под жилые помещения.</w:t>
      </w:r>
    </w:p>
    <w:p w:rsidR="009C45F8" w:rsidRPr="0037464E" w:rsidRDefault="009C45F8" w:rsidP="009C45F8">
      <w:pPr>
        <w:shd w:val="clear" w:color="auto" w:fill="FFFFFF"/>
        <w:spacing w:after="0" w:line="240" w:lineRule="auto"/>
        <w:ind w:firstLine="709"/>
        <w:jc w:val="both"/>
        <w:rPr>
          <w:rFonts w:ascii="Times New Roman" w:hAnsi="Times New Roman" w:cs="Times New Roman"/>
          <w:iCs/>
          <w:spacing w:val="-3"/>
          <w:sz w:val="24"/>
          <w:szCs w:val="24"/>
        </w:rPr>
      </w:pPr>
      <w:r w:rsidRPr="0037464E">
        <w:rPr>
          <w:rFonts w:ascii="Times New Roman" w:hAnsi="Times New Roman" w:cs="Times New Roman"/>
          <w:iCs/>
          <w:sz w:val="24"/>
          <w:szCs w:val="24"/>
        </w:rPr>
        <w:t>В 2017 году государственные гарантии Амурской области не предоставлялись.</w:t>
      </w:r>
    </w:p>
    <w:p w:rsidR="009C45F8" w:rsidRDefault="009C45F8" w:rsidP="009C45F8">
      <w:pPr>
        <w:spacing w:after="0" w:line="240" w:lineRule="auto"/>
        <w:ind w:firstLine="708"/>
        <w:jc w:val="both"/>
        <w:rPr>
          <w:rFonts w:ascii="Times New Roman" w:hAnsi="Times New Roman" w:cs="Times New Roman"/>
          <w:sz w:val="24"/>
          <w:szCs w:val="24"/>
        </w:rPr>
      </w:pPr>
      <w:r w:rsidRPr="0037464E">
        <w:rPr>
          <w:rFonts w:ascii="Times New Roman" w:hAnsi="Times New Roman" w:cs="Times New Roman"/>
          <w:sz w:val="24"/>
          <w:szCs w:val="24"/>
        </w:rPr>
        <w:t>На 01.01.2017 объем непогашенных гарантий, выданных в предшествующие годы, составил 59481,2 тыс. рублей.  В течение 2017 года по гарантийным обязательствам погашено 59481,2 тыс. рублей. По состоянию на 01.01.2018 задолженность по долговым обязательствам (государственные гарантии Амурской области) согласно данн</w:t>
      </w:r>
      <w:r w:rsidR="00E5269A">
        <w:rPr>
          <w:rFonts w:ascii="Times New Roman" w:hAnsi="Times New Roman" w:cs="Times New Roman"/>
          <w:sz w:val="24"/>
          <w:szCs w:val="24"/>
        </w:rPr>
        <w:t>ым долговой книги отсутствует.</w:t>
      </w:r>
    </w:p>
    <w:p w:rsidR="009C45F8" w:rsidRPr="00783FBA" w:rsidRDefault="009C45F8" w:rsidP="009C45F8">
      <w:pPr>
        <w:spacing w:after="0" w:line="240" w:lineRule="auto"/>
        <w:ind w:firstLine="708"/>
        <w:jc w:val="both"/>
        <w:rPr>
          <w:rFonts w:ascii="Times New Roman" w:hAnsi="Times New Roman" w:cs="Times New Roman"/>
          <w:sz w:val="24"/>
          <w:szCs w:val="24"/>
        </w:rPr>
      </w:pPr>
      <w:r w:rsidRPr="001A299F">
        <w:rPr>
          <w:rFonts w:ascii="Times New Roman" w:hAnsi="Times New Roman" w:cs="Times New Roman"/>
          <w:sz w:val="24"/>
          <w:szCs w:val="24"/>
        </w:rPr>
        <w:t>Информация об исполнении Программы государственных гарантий Амурской области за 201</w:t>
      </w:r>
      <w:r>
        <w:rPr>
          <w:rFonts w:ascii="Times New Roman" w:hAnsi="Times New Roman" w:cs="Times New Roman"/>
          <w:sz w:val="24"/>
          <w:szCs w:val="24"/>
        </w:rPr>
        <w:t>7</w:t>
      </w:r>
      <w:r w:rsidRPr="001A299F">
        <w:rPr>
          <w:rFonts w:ascii="Times New Roman" w:hAnsi="Times New Roman" w:cs="Times New Roman"/>
          <w:sz w:val="24"/>
          <w:szCs w:val="24"/>
        </w:rPr>
        <w:t xml:space="preserve"> год</w:t>
      </w:r>
      <w:r>
        <w:rPr>
          <w:rFonts w:ascii="Times New Roman" w:hAnsi="Times New Roman" w:cs="Times New Roman"/>
          <w:sz w:val="24"/>
          <w:szCs w:val="24"/>
        </w:rPr>
        <w:t xml:space="preserve"> (с учетом переходящих гарантий) </w:t>
      </w:r>
      <w:r w:rsidRPr="00CE2194">
        <w:rPr>
          <w:rFonts w:ascii="Times New Roman" w:hAnsi="Times New Roman" w:cs="Times New Roman"/>
          <w:sz w:val="24"/>
          <w:szCs w:val="24"/>
        </w:rPr>
        <w:t xml:space="preserve">приведена в </w:t>
      </w:r>
      <w:r w:rsidRPr="00783FBA">
        <w:rPr>
          <w:rFonts w:ascii="Times New Roman" w:hAnsi="Times New Roman" w:cs="Times New Roman"/>
          <w:sz w:val="24"/>
          <w:szCs w:val="24"/>
        </w:rPr>
        <w:t>Приложении 3.</w:t>
      </w:r>
    </w:p>
    <w:p w:rsidR="009C45F8" w:rsidRPr="001A299F" w:rsidRDefault="009C45F8" w:rsidP="009C45F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1A299F">
        <w:rPr>
          <w:rFonts w:ascii="Times New Roman" w:eastAsia="Times New Roman" w:hAnsi="Times New Roman" w:cs="Times New Roman"/>
          <w:b/>
          <w:sz w:val="24"/>
          <w:szCs w:val="24"/>
          <w:lang w:eastAsia="ru-RU"/>
        </w:rPr>
        <w:t>.3.Обслуживание и управление государственным долгом Амурской области в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году</w:t>
      </w:r>
    </w:p>
    <w:p w:rsidR="009C45F8" w:rsidRPr="00BD6275" w:rsidRDefault="009C45F8" w:rsidP="009C45F8">
      <w:pPr>
        <w:spacing w:after="0" w:line="240" w:lineRule="auto"/>
        <w:ind w:firstLine="708"/>
        <w:jc w:val="both"/>
        <w:rPr>
          <w:rFonts w:ascii="Times New Roman" w:hAnsi="Times New Roman" w:cs="Times New Roman"/>
          <w:sz w:val="24"/>
          <w:szCs w:val="24"/>
        </w:rPr>
      </w:pPr>
      <w:r w:rsidRPr="00BD6275">
        <w:rPr>
          <w:rFonts w:ascii="Times New Roman" w:hAnsi="Times New Roman" w:cs="Times New Roman"/>
          <w:sz w:val="24"/>
          <w:szCs w:val="24"/>
        </w:rPr>
        <w:t>Объем расходов на обслуживание долговых обязательств области за 2017 год составил 792857,6 тыс. рублей, при уточненных бюджетных ассигнованиях 797243,6 тыс. рублей, или 99,</w:t>
      </w:r>
      <w:r w:rsidR="00E5269A">
        <w:rPr>
          <w:rFonts w:ascii="Times New Roman" w:hAnsi="Times New Roman" w:cs="Times New Roman"/>
          <w:sz w:val="24"/>
          <w:szCs w:val="24"/>
        </w:rPr>
        <w:t>4 процента плановых назначений.</w:t>
      </w:r>
    </w:p>
    <w:p w:rsidR="009C45F8" w:rsidRPr="00BD6275" w:rsidRDefault="009C45F8" w:rsidP="009C45F8">
      <w:pPr>
        <w:spacing w:after="0" w:line="240" w:lineRule="auto"/>
        <w:ind w:firstLine="708"/>
        <w:jc w:val="both"/>
        <w:rPr>
          <w:rFonts w:ascii="Times New Roman" w:hAnsi="Times New Roman" w:cs="Times New Roman"/>
          <w:sz w:val="24"/>
          <w:szCs w:val="24"/>
        </w:rPr>
      </w:pPr>
      <w:r w:rsidRPr="00BD6275">
        <w:rPr>
          <w:rFonts w:ascii="Times New Roman" w:hAnsi="Times New Roman" w:cs="Times New Roman"/>
          <w:sz w:val="24"/>
          <w:szCs w:val="24"/>
        </w:rPr>
        <w:t>В течение 2017 года плановые ассигнования на обслуживание долговых обязательств области уменьшились на 431718,5 тыс. рублей. Первоначально</w:t>
      </w:r>
      <w:r w:rsidR="00783FBA">
        <w:rPr>
          <w:rFonts w:ascii="Times New Roman" w:hAnsi="Times New Roman" w:cs="Times New Roman"/>
          <w:sz w:val="24"/>
          <w:szCs w:val="24"/>
        </w:rPr>
        <w:t xml:space="preserve">, </w:t>
      </w:r>
      <w:r w:rsidRPr="00BD6275">
        <w:rPr>
          <w:rFonts w:ascii="Times New Roman" w:hAnsi="Times New Roman" w:cs="Times New Roman"/>
          <w:sz w:val="24"/>
          <w:szCs w:val="24"/>
        </w:rPr>
        <w:t>Законом Амурской области от</w:t>
      </w:r>
      <w:r w:rsidRPr="00BD6275">
        <w:rPr>
          <w:rFonts w:ascii="Times New Roman" w:hAnsi="Times New Roman" w:cs="Times New Roman"/>
          <w:iCs/>
          <w:spacing w:val="-3"/>
          <w:sz w:val="24"/>
          <w:szCs w:val="24"/>
        </w:rPr>
        <w:t xml:space="preserve"> 20.12.2016 № 27-ОЗ </w:t>
      </w:r>
      <w:r w:rsidRPr="00BD6275">
        <w:rPr>
          <w:rFonts w:ascii="Times New Roman" w:hAnsi="Times New Roman" w:cs="Times New Roman"/>
          <w:sz w:val="24"/>
          <w:szCs w:val="24"/>
        </w:rPr>
        <w:t xml:space="preserve">«Об областном бюджете на 2017 год и плановый период 2018 и </w:t>
      </w:r>
      <w:r w:rsidR="00783FBA">
        <w:rPr>
          <w:rFonts w:ascii="Times New Roman" w:hAnsi="Times New Roman" w:cs="Times New Roman"/>
          <w:sz w:val="24"/>
          <w:szCs w:val="24"/>
        </w:rPr>
        <w:br/>
      </w:r>
      <w:r w:rsidRPr="00BD6275">
        <w:rPr>
          <w:rFonts w:ascii="Times New Roman" w:hAnsi="Times New Roman" w:cs="Times New Roman"/>
          <w:sz w:val="24"/>
          <w:szCs w:val="24"/>
        </w:rPr>
        <w:t>2019 годов» бюджетные ассигнования на обслуживание государственного долга области предусмотрены в объеме 1228962,1 тыс. рублей, с учетом внесенных изменений в указанный Закон, бюджетные ассигнования на обслуживание государственного долга области уменьшились и составили 797243,6 тыс. рублей, что связано с переоформлением кредитов, привлеченных в коммерческих банках под более низ</w:t>
      </w:r>
      <w:r w:rsidR="00E5269A">
        <w:rPr>
          <w:rFonts w:ascii="Times New Roman" w:hAnsi="Times New Roman" w:cs="Times New Roman"/>
          <w:sz w:val="24"/>
          <w:szCs w:val="24"/>
        </w:rPr>
        <w:t>кую годовую процентную ставку.</w:t>
      </w:r>
    </w:p>
    <w:p w:rsidR="009C45F8" w:rsidRDefault="009C45F8" w:rsidP="009C45F8">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В 2012-2015 годах ежегодно наблюдается тенденция роста объема расходов на обслуживание государственного долга области, так в</w:t>
      </w:r>
      <w:r w:rsidRPr="00393AA9">
        <w:rPr>
          <w:rFonts w:ascii="Times New Roman" w:hAnsi="Times New Roman" w:cs="Times New Roman"/>
          <w:sz w:val="24"/>
          <w:szCs w:val="24"/>
        </w:rPr>
        <w:t xml:space="preserve"> </w:t>
      </w:r>
      <w:r>
        <w:rPr>
          <w:rFonts w:ascii="Times New Roman" w:hAnsi="Times New Roman" w:cs="Times New Roman"/>
          <w:sz w:val="24"/>
          <w:szCs w:val="24"/>
        </w:rPr>
        <w:t xml:space="preserve">2013 году по сравнению с 2012 годом объем расходов на обслуживание государственного долга возрастает до 1089174,4 тыс. </w:t>
      </w:r>
      <w:r>
        <w:rPr>
          <w:rFonts w:ascii="Times New Roman" w:hAnsi="Times New Roman" w:cs="Times New Roman"/>
          <w:sz w:val="24"/>
          <w:szCs w:val="24"/>
        </w:rPr>
        <w:lastRenderedPageBreak/>
        <w:t xml:space="preserve">рублей, или в 2,1 раза, в 2014 году также наблюдается рост расходов на обслуживание долга по сравнению с расходами 2013 года </w:t>
      </w:r>
      <w:r w:rsidRPr="001A299F">
        <w:rPr>
          <w:rFonts w:ascii="Times New Roman" w:eastAsia="Times New Roman" w:hAnsi="Times New Roman" w:cs="Times New Roman"/>
          <w:snapToGrid w:val="0"/>
          <w:sz w:val="24"/>
          <w:szCs w:val="24"/>
          <w:lang w:eastAsia="ru-RU"/>
        </w:rPr>
        <w:t xml:space="preserve">до </w:t>
      </w:r>
      <w:r>
        <w:rPr>
          <w:rFonts w:ascii="Times New Roman" w:eastAsia="Times New Roman" w:hAnsi="Times New Roman" w:cs="Times New Roman"/>
          <w:snapToGrid w:val="0"/>
          <w:sz w:val="24"/>
          <w:szCs w:val="24"/>
          <w:lang w:eastAsia="ru-RU"/>
        </w:rPr>
        <w:t>1396032,7 тыс</w:t>
      </w:r>
      <w:r w:rsidRPr="001A299F">
        <w:rPr>
          <w:rFonts w:ascii="Times New Roman" w:eastAsia="Times New Roman" w:hAnsi="Times New Roman" w:cs="Times New Roman"/>
          <w:snapToGrid w:val="0"/>
          <w:sz w:val="24"/>
          <w:szCs w:val="24"/>
          <w:lang w:eastAsia="ru-RU"/>
        </w:rPr>
        <w:t>. рублей</w:t>
      </w:r>
      <w:r>
        <w:rPr>
          <w:rFonts w:ascii="Times New Roman" w:eastAsia="Times New Roman" w:hAnsi="Times New Roman" w:cs="Times New Roman"/>
          <w:snapToGrid w:val="0"/>
          <w:sz w:val="24"/>
          <w:szCs w:val="24"/>
          <w:lang w:eastAsia="ru-RU"/>
        </w:rPr>
        <w:t>, или в 1,3 раза. Наибольший объем расходов на обслуживание долга приходится на 2015 год – 1903647,9 тыс. рублей, что в 1,4 раза больше по сравнению с расходами 2014 года, в 3,6 раза по с</w:t>
      </w:r>
      <w:r w:rsidR="00E5269A">
        <w:rPr>
          <w:rFonts w:ascii="Times New Roman" w:eastAsia="Times New Roman" w:hAnsi="Times New Roman" w:cs="Times New Roman"/>
          <w:snapToGrid w:val="0"/>
          <w:sz w:val="24"/>
          <w:szCs w:val="24"/>
          <w:lang w:eastAsia="ru-RU"/>
        </w:rPr>
        <w:t>равнению с расходами 2012 года.</w:t>
      </w:r>
    </w:p>
    <w:p w:rsidR="009C45F8" w:rsidRPr="001A299F" w:rsidRDefault="009C45F8" w:rsidP="009C45F8">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Начиная с</w:t>
      </w:r>
      <w:r w:rsidRPr="001A299F">
        <w:rPr>
          <w:rFonts w:ascii="Times New Roman" w:eastAsia="Times New Roman" w:hAnsi="Times New Roman" w:cs="Times New Roman"/>
          <w:snapToGrid w:val="0"/>
          <w:sz w:val="24"/>
          <w:szCs w:val="24"/>
          <w:lang w:eastAsia="ru-RU"/>
        </w:rPr>
        <w:t xml:space="preserve"> 201</w:t>
      </w:r>
      <w:r>
        <w:rPr>
          <w:rFonts w:ascii="Times New Roman" w:eastAsia="Times New Roman" w:hAnsi="Times New Roman" w:cs="Times New Roman"/>
          <w:snapToGrid w:val="0"/>
          <w:sz w:val="24"/>
          <w:szCs w:val="24"/>
          <w:lang w:eastAsia="ru-RU"/>
        </w:rPr>
        <w:t>6</w:t>
      </w:r>
      <w:r w:rsidRPr="001A299F">
        <w:rPr>
          <w:rFonts w:ascii="Times New Roman" w:eastAsia="Times New Roman" w:hAnsi="Times New Roman" w:cs="Times New Roman"/>
          <w:snapToGrid w:val="0"/>
          <w:sz w:val="24"/>
          <w:szCs w:val="24"/>
          <w:lang w:eastAsia="ru-RU"/>
        </w:rPr>
        <w:t xml:space="preserve"> год</w:t>
      </w:r>
      <w:r>
        <w:rPr>
          <w:rFonts w:ascii="Times New Roman" w:eastAsia="Times New Roman" w:hAnsi="Times New Roman" w:cs="Times New Roman"/>
          <w:snapToGrid w:val="0"/>
          <w:sz w:val="24"/>
          <w:szCs w:val="24"/>
          <w:lang w:eastAsia="ru-RU"/>
        </w:rPr>
        <w:t>а</w:t>
      </w:r>
      <w:r w:rsidRPr="001A299F">
        <w:rPr>
          <w:rFonts w:ascii="Times New Roman" w:eastAsia="Times New Roman" w:hAnsi="Times New Roman" w:cs="Times New Roman"/>
          <w:snapToGrid w:val="0"/>
          <w:sz w:val="24"/>
          <w:szCs w:val="24"/>
          <w:lang w:eastAsia="ru-RU"/>
        </w:rPr>
        <w:t xml:space="preserve"> расходы на обслуживание долговых обязательств</w:t>
      </w:r>
      <w:r>
        <w:rPr>
          <w:rFonts w:ascii="Times New Roman" w:eastAsia="Times New Roman" w:hAnsi="Times New Roman" w:cs="Times New Roman"/>
          <w:snapToGrid w:val="0"/>
          <w:sz w:val="24"/>
          <w:szCs w:val="24"/>
          <w:lang w:eastAsia="ru-RU"/>
        </w:rPr>
        <w:t xml:space="preserve"> уменьшаются. В 2016 году их объем </w:t>
      </w:r>
      <w:r w:rsidRPr="001A299F">
        <w:rPr>
          <w:rFonts w:ascii="Times New Roman" w:eastAsia="Times New Roman" w:hAnsi="Times New Roman" w:cs="Times New Roman"/>
          <w:snapToGrid w:val="0"/>
          <w:sz w:val="24"/>
          <w:szCs w:val="24"/>
          <w:lang w:eastAsia="ru-RU"/>
        </w:rPr>
        <w:t xml:space="preserve"> по сравнению с 201</w:t>
      </w:r>
      <w:r>
        <w:rPr>
          <w:rFonts w:ascii="Times New Roman" w:eastAsia="Times New Roman" w:hAnsi="Times New Roman" w:cs="Times New Roman"/>
          <w:snapToGrid w:val="0"/>
          <w:sz w:val="24"/>
          <w:szCs w:val="24"/>
          <w:lang w:eastAsia="ru-RU"/>
        </w:rPr>
        <w:t>5</w:t>
      </w:r>
      <w:r w:rsidRPr="001A299F">
        <w:rPr>
          <w:rFonts w:ascii="Times New Roman" w:eastAsia="Times New Roman" w:hAnsi="Times New Roman" w:cs="Times New Roman"/>
          <w:snapToGrid w:val="0"/>
          <w:sz w:val="24"/>
          <w:szCs w:val="24"/>
          <w:lang w:eastAsia="ru-RU"/>
        </w:rPr>
        <w:t xml:space="preserve"> годом </w:t>
      </w:r>
      <w:r>
        <w:rPr>
          <w:rFonts w:ascii="Times New Roman" w:eastAsia="Times New Roman" w:hAnsi="Times New Roman" w:cs="Times New Roman"/>
          <w:snapToGrid w:val="0"/>
          <w:sz w:val="24"/>
          <w:szCs w:val="24"/>
          <w:lang w:eastAsia="ru-RU"/>
        </w:rPr>
        <w:t xml:space="preserve">уменьшается </w:t>
      </w:r>
      <w:r w:rsidRPr="001A299F">
        <w:rPr>
          <w:rFonts w:ascii="Times New Roman" w:eastAsia="Times New Roman" w:hAnsi="Times New Roman" w:cs="Times New Roman"/>
          <w:snapToGrid w:val="0"/>
          <w:sz w:val="24"/>
          <w:szCs w:val="24"/>
          <w:lang w:eastAsia="ru-RU"/>
        </w:rPr>
        <w:t xml:space="preserve"> на </w:t>
      </w:r>
      <w:r>
        <w:rPr>
          <w:rFonts w:ascii="Times New Roman" w:eastAsia="Times New Roman" w:hAnsi="Times New Roman" w:cs="Times New Roman"/>
          <w:snapToGrid w:val="0"/>
          <w:sz w:val="24"/>
          <w:szCs w:val="24"/>
          <w:lang w:eastAsia="ru-RU"/>
        </w:rPr>
        <w:t>453886,0</w:t>
      </w:r>
      <w:r w:rsidRPr="001A299F">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тыс. рублей, или 23,8 процента, в 2017 году по сравнению с 2016 годом - на 656904,3 ты</w:t>
      </w:r>
      <w:r w:rsidR="00E5269A">
        <w:rPr>
          <w:rFonts w:ascii="Times New Roman" w:eastAsia="Times New Roman" w:hAnsi="Times New Roman" w:cs="Times New Roman"/>
          <w:snapToGrid w:val="0"/>
          <w:sz w:val="24"/>
          <w:szCs w:val="24"/>
          <w:lang w:eastAsia="ru-RU"/>
        </w:rPr>
        <w:t xml:space="preserve">с. рублей, или </w:t>
      </w:r>
      <w:r w:rsidR="00E5269A">
        <w:rPr>
          <w:rFonts w:ascii="Times New Roman" w:eastAsia="Times New Roman" w:hAnsi="Times New Roman" w:cs="Times New Roman"/>
          <w:snapToGrid w:val="0"/>
          <w:sz w:val="24"/>
          <w:szCs w:val="24"/>
          <w:lang w:eastAsia="ru-RU"/>
        </w:rPr>
        <w:br/>
        <w:t>45,3 процента.</w:t>
      </w:r>
    </w:p>
    <w:p w:rsidR="009C45F8" w:rsidRPr="00783FBA" w:rsidRDefault="009C45F8" w:rsidP="009C45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1A299F">
        <w:rPr>
          <w:rFonts w:ascii="Times New Roman" w:eastAsia="Times New Roman" w:hAnsi="Times New Roman" w:cs="Times New Roman"/>
          <w:snapToGrid w:val="0"/>
          <w:sz w:val="24"/>
          <w:szCs w:val="24"/>
          <w:lang w:eastAsia="ru-RU"/>
        </w:rPr>
        <w:t xml:space="preserve">Показатели расходов на обслуживание государственного долга области за </w:t>
      </w:r>
      <w:r w:rsidRPr="001A299F">
        <w:rPr>
          <w:rFonts w:ascii="Times New Roman" w:eastAsia="Times New Roman" w:hAnsi="Times New Roman" w:cs="Times New Roman"/>
          <w:snapToGrid w:val="0"/>
          <w:sz w:val="24"/>
          <w:szCs w:val="24"/>
          <w:lang w:eastAsia="ru-RU"/>
        </w:rPr>
        <w:br/>
        <w:t>201</w:t>
      </w:r>
      <w:r>
        <w:rPr>
          <w:rFonts w:ascii="Times New Roman" w:eastAsia="Times New Roman" w:hAnsi="Times New Roman" w:cs="Times New Roman"/>
          <w:snapToGrid w:val="0"/>
          <w:sz w:val="24"/>
          <w:szCs w:val="24"/>
          <w:lang w:eastAsia="ru-RU"/>
        </w:rPr>
        <w:t>2-2017</w:t>
      </w:r>
      <w:r w:rsidRPr="001A299F">
        <w:rPr>
          <w:rFonts w:ascii="Times New Roman" w:eastAsia="Times New Roman" w:hAnsi="Times New Roman" w:cs="Times New Roman"/>
          <w:snapToGrid w:val="0"/>
          <w:sz w:val="24"/>
          <w:szCs w:val="24"/>
          <w:lang w:eastAsia="ru-RU"/>
        </w:rPr>
        <w:t xml:space="preserve"> годы представлены </w:t>
      </w:r>
      <w:r w:rsidRPr="00580719">
        <w:rPr>
          <w:rFonts w:ascii="Times New Roman" w:eastAsia="Times New Roman" w:hAnsi="Times New Roman" w:cs="Times New Roman"/>
          <w:snapToGrid w:val="0"/>
          <w:sz w:val="24"/>
          <w:szCs w:val="24"/>
          <w:lang w:eastAsia="ru-RU"/>
        </w:rPr>
        <w:t xml:space="preserve">на </w:t>
      </w:r>
      <w:r w:rsidRPr="00783FBA">
        <w:rPr>
          <w:rFonts w:ascii="Times New Roman" w:eastAsia="Times New Roman" w:hAnsi="Times New Roman" w:cs="Times New Roman"/>
          <w:snapToGrid w:val="0"/>
          <w:sz w:val="24"/>
          <w:szCs w:val="24"/>
          <w:lang w:eastAsia="ru-RU"/>
        </w:rPr>
        <w:t>рисунке 3</w:t>
      </w:r>
      <w:r w:rsidR="00783FBA" w:rsidRPr="00783FBA">
        <w:rPr>
          <w:rFonts w:ascii="Times New Roman" w:eastAsia="Times New Roman" w:hAnsi="Times New Roman" w:cs="Times New Roman"/>
          <w:snapToGrid w:val="0"/>
          <w:sz w:val="24"/>
          <w:szCs w:val="24"/>
          <w:lang w:eastAsia="ru-RU"/>
        </w:rPr>
        <w:t>6</w:t>
      </w:r>
      <w:r w:rsidRPr="00783FBA">
        <w:rPr>
          <w:rFonts w:ascii="Times New Roman" w:eastAsia="Times New Roman" w:hAnsi="Times New Roman" w:cs="Times New Roman"/>
          <w:snapToGrid w:val="0"/>
          <w:sz w:val="24"/>
          <w:szCs w:val="24"/>
          <w:lang w:eastAsia="ru-RU"/>
        </w:rPr>
        <w:t>.</w:t>
      </w:r>
    </w:p>
    <w:p w:rsidR="009C45F8" w:rsidRPr="001A299F" w:rsidRDefault="009C45F8" w:rsidP="009C45F8">
      <w:pPr>
        <w:shd w:val="clear" w:color="auto" w:fill="FFFFFF"/>
        <w:spacing w:after="0" w:line="240" w:lineRule="auto"/>
        <w:ind w:firstLine="709"/>
        <w:jc w:val="both"/>
        <w:rPr>
          <w:rFonts w:ascii="Times New Roman" w:hAnsi="Times New Roman" w:cs="Times New Roman"/>
          <w:iCs/>
          <w:spacing w:val="-3"/>
          <w:sz w:val="24"/>
          <w:szCs w:val="24"/>
        </w:rPr>
      </w:pPr>
    </w:p>
    <w:p w:rsidR="009C45F8" w:rsidRPr="001A299F" w:rsidRDefault="009C45F8" w:rsidP="00E526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1A299F">
        <w:rPr>
          <w:rFonts w:ascii="Times New Roman" w:eastAsia="Times New Roman" w:hAnsi="Times New Roman" w:cs="Times New Roman"/>
          <w:b/>
          <w:i/>
          <w:noProof/>
          <w:sz w:val="20"/>
          <w:szCs w:val="20"/>
          <w:lang w:eastAsia="ru-RU"/>
        </w:rPr>
        <w:drawing>
          <wp:inline distT="0" distB="0" distL="0" distR="0" wp14:anchorId="3A13C26F" wp14:editId="2316FFAE">
            <wp:extent cx="6107502" cy="3295291"/>
            <wp:effectExtent l="0" t="0" r="0" b="0"/>
            <wp:docPr id="41"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C45F8" w:rsidRPr="001A299F" w:rsidRDefault="009C45F8" w:rsidP="009C45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napToGrid w:val="0"/>
          <w:lang w:eastAsia="ru-RU"/>
        </w:rPr>
      </w:pPr>
      <w:r w:rsidRPr="00783FBA">
        <w:rPr>
          <w:rFonts w:ascii="Times New Roman" w:eastAsia="Times New Roman" w:hAnsi="Times New Roman" w:cs="Times New Roman"/>
          <w:b/>
          <w:snapToGrid w:val="0"/>
          <w:lang w:eastAsia="ru-RU"/>
        </w:rPr>
        <w:t>Рис. 3</w:t>
      </w:r>
      <w:r w:rsidR="00783FBA" w:rsidRPr="00783FBA">
        <w:rPr>
          <w:rFonts w:ascii="Times New Roman" w:eastAsia="Times New Roman" w:hAnsi="Times New Roman" w:cs="Times New Roman"/>
          <w:b/>
          <w:snapToGrid w:val="0"/>
          <w:lang w:eastAsia="ru-RU"/>
        </w:rPr>
        <w:t>6</w:t>
      </w:r>
      <w:r w:rsidRPr="00783FBA">
        <w:rPr>
          <w:rFonts w:ascii="Times New Roman" w:eastAsia="Times New Roman" w:hAnsi="Times New Roman" w:cs="Times New Roman"/>
          <w:b/>
          <w:snapToGrid w:val="0"/>
          <w:lang w:eastAsia="ru-RU"/>
        </w:rPr>
        <w:t xml:space="preserve">– Показатели </w:t>
      </w:r>
      <w:r w:rsidRPr="001A299F">
        <w:rPr>
          <w:rFonts w:ascii="Times New Roman" w:eastAsia="Times New Roman" w:hAnsi="Times New Roman" w:cs="Times New Roman"/>
          <w:b/>
          <w:snapToGrid w:val="0"/>
          <w:lang w:eastAsia="ru-RU"/>
        </w:rPr>
        <w:t xml:space="preserve">расходов на обслуживание государственного долга </w:t>
      </w:r>
      <w:r w:rsidRPr="001A299F">
        <w:rPr>
          <w:rFonts w:ascii="Times New Roman" w:eastAsia="Times New Roman" w:hAnsi="Times New Roman" w:cs="Times New Roman"/>
          <w:b/>
          <w:snapToGrid w:val="0"/>
          <w:lang w:eastAsia="ru-RU"/>
        </w:rPr>
        <w:br/>
        <w:t>Амурской области</w:t>
      </w:r>
      <w:r>
        <w:rPr>
          <w:rFonts w:ascii="Times New Roman" w:eastAsia="Times New Roman" w:hAnsi="Times New Roman" w:cs="Times New Roman"/>
          <w:b/>
          <w:snapToGrid w:val="0"/>
          <w:lang w:eastAsia="ru-RU"/>
        </w:rPr>
        <w:t xml:space="preserve"> за 2012-2016 годы</w:t>
      </w:r>
      <w:r w:rsidRPr="001A299F">
        <w:rPr>
          <w:rFonts w:ascii="Times New Roman" w:eastAsia="Times New Roman" w:hAnsi="Times New Roman" w:cs="Times New Roman"/>
          <w:b/>
          <w:snapToGrid w:val="0"/>
          <w:lang w:eastAsia="ru-RU"/>
        </w:rPr>
        <w:t>, млн. рублей</w:t>
      </w:r>
    </w:p>
    <w:p w:rsidR="00533502" w:rsidRDefault="00533502" w:rsidP="009C45F8">
      <w:pPr>
        <w:shd w:val="clear" w:color="auto" w:fill="FFFFFF"/>
        <w:spacing w:after="0" w:line="240" w:lineRule="auto"/>
        <w:ind w:firstLine="709"/>
        <w:jc w:val="both"/>
        <w:rPr>
          <w:rFonts w:ascii="Times New Roman" w:hAnsi="Times New Roman" w:cs="Times New Roman"/>
          <w:iCs/>
          <w:spacing w:val="-3"/>
          <w:sz w:val="24"/>
          <w:szCs w:val="24"/>
        </w:rPr>
      </w:pPr>
    </w:p>
    <w:p w:rsidR="009C45F8" w:rsidRPr="00FA1C03" w:rsidRDefault="009C45F8" w:rsidP="009C45F8">
      <w:pPr>
        <w:shd w:val="clear" w:color="auto" w:fill="FFFFFF"/>
        <w:spacing w:after="0" w:line="240" w:lineRule="auto"/>
        <w:ind w:firstLine="709"/>
        <w:jc w:val="both"/>
        <w:rPr>
          <w:rFonts w:ascii="Times New Roman" w:hAnsi="Times New Roman" w:cs="Times New Roman"/>
          <w:iCs/>
          <w:spacing w:val="-3"/>
          <w:sz w:val="24"/>
          <w:szCs w:val="24"/>
        </w:rPr>
      </w:pPr>
      <w:r w:rsidRPr="00FA1C03">
        <w:rPr>
          <w:rFonts w:ascii="Times New Roman" w:hAnsi="Times New Roman" w:cs="Times New Roman"/>
          <w:iCs/>
          <w:spacing w:val="-3"/>
          <w:sz w:val="24"/>
          <w:szCs w:val="24"/>
        </w:rPr>
        <w:t>Согласно статье 111 Бюджетного кодекса Российской Федерации объем расходов на обслуживание государственного долга субъекта Российской Федерации в очередном финансовом году и плановом периоде, утвержденный законом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C45F8" w:rsidRPr="00FA1C03" w:rsidRDefault="009C45F8" w:rsidP="009C45F8">
      <w:pPr>
        <w:shd w:val="clear" w:color="auto" w:fill="FFFFFF"/>
        <w:spacing w:after="0" w:line="240" w:lineRule="auto"/>
        <w:ind w:firstLine="709"/>
        <w:jc w:val="both"/>
        <w:rPr>
          <w:rFonts w:ascii="Times New Roman" w:hAnsi="Times New Roman" w:cs="Times New Roman"/>
          <w:iCs/>
          <w:spacing w:val="-3"/>
          <w:sz w:val="24"/>
          <w:szCs w:val="24"/>
        </w:rPr>
      </w:pPr>
      <w:r w:rsidRPr="00FA1C03">
        <w:rPr>
          <w:rFonts w:ascii="Times New Roman" w:hAnsi="Times New Roman" w:cs="Times New Roman"/>
          <w:sz w:val="24"/>
          <w:szCs w:val="24"/>
        </w:rPr>
        <w:t xml:space="preserve">Объем расходов на обслуживание государственного долга области, утвержденный Законом Амурской области «Об областном бюджете на 2017 год и плановый период 2018 и </w:t>
      </w:r>
      <w:r w:rsidRPr="00FA1C03">
        <w:rPr>
          <w:rFonts w:ascii="Times New Roman" w:hAnsi="Times New Roman" w:cs="Times New Roman"/>
          <w:sz w:val="24"/>
          <w:szCs w:val="24"/>
        </w:rPr>
        <w:br/>
        <w:t>2019 годов» (с учетом изменений) в сумме 797243,6 тыс. рублей,</w:t>
      </w:r>
      <w:r w:rsidRPr="00FA1C03">
        <w:rPr>
          <w:rFonts w:ascii="Times New Roman" w:hAnsi="Times New Roman" w:cs="Times New Roman"/>
          <w:color w:val="FF0000"/>
          <w:sz w:val="24"/>
          <w:szCs w:val="24"/>
        </w:rPr>
        <w:t xml:space="preserve"> </w:t>
      </w:r>
      <w:r w:rsidRPr="00FA1C03">
        <w:rPr>
          <w:rFonts w:ascii="Times New Roman" w:hAnsi="Times New Roman" w:cs="Times New Roman"/>
          <w:sz w:val="24"/>
          <w:szCs w:val="24"/>
        </w:rPr>
        <w:t xml:space="preserve">составляет 1,8 процента объема расходов областного бюджета, за исключением объема расходов, которые осуществляются за счет субвенций, предоставляемых из федерального бюджета, по данным отчета об исполнении областного бюджета за 2017 год в сумме 792857,6 тыс. рублей - </w:t>
      </w:r>
      <w:r w:rsidRPr="00FA1C03">
        <w:rPr>
          <w:rFonts w:ascii="Times New Roman" w:hAnsi="Times New Roman" w:cs="Times New Roman"/>
          <w:sz w:val="24"/>
          <w:szCs w:val="24"/>
        </w:rPr>
        <w:br/>
        <w:t xml:space="preserve">1,8 процента, что не превышает 15 процентов и соответствует требованиям статьи </w:t>
      </w:r>
      <w:r w:rsidR="00533502">
        <w:rPr>
          <w:rFonts w:ascii="Times New Roman" w:hAnsi="Times New Roman" w:cs="Times New Roman"/>
          <w:sz w:val="24"/>
          <w:szCs w:val="24"/>
        </w:rPr>
        <w:br/>
      </w:r>
      <w:r w:rsidRPr="00FA1C03">
        <w:rPr>
          <w:rFonts w:ascii="Times New Roman" w:hAnsi="Times New Roman" w:cs="Times New Roman"/>
          <w:sz w:val="24"/>
          <w:szCs w:val="24"/>
        </w:rPr>
        <w:t>111 Бюджетного кодекса Российской Федерации.</w:t>
      </w:r>
      <w:r w:rsidRPr="00FA1C03">
        <w:rPr>
          <w:rFonts w:ascii="Times New Roman" w:hAnsi="Times New Roman" w:cs="Times New Roman"/>
          <w:color w:val="FF0000"/>
          <w:sz w:val="24"/>
          <w:szCs w:val="24"/>
        </w:rPr>
        <w:t xml:space="preserve"> </w:t>
      </w:r>
      <w:r w:rsidRPr="00FA1C03">
        <w:rPr>
          <w:rFonts w:ascii="Times New Roman" w:hAnsi="Times New Roman" w:cs="Times New Roman"/>
          <w:sz w:val="24"/>
          <w:szCs w:val="24"/>
        </w:rPr>
        <w:t>При этом</w:t>
      </w:r>
      <w:r w:rsidRPr="00FA1C03">
        <w:rPr>
          <w:rFonts w:ascii="Times New Roman" w:hAnsi="Times New Roman" w:cs="Times New Roman"/>
          <w:iCs/>
          <w:spacing w:val="-3"/>
          <w:sz w:val="24"/>
          <w:szCs w:val="24"/>
        </w:rPr>
        <w:t xml:space="preserve"> следует отметить, что в 2017 году отношение расходов  на обслуживание государственного долга к общему объему расходов без учета субвенций, как по плановым показателям, так и по результатам исполнения областного бюджета уменьшилось по сравнению с 2016 годом (плановый показатель 2016 года – </w:t>
      </w:r>
      <w:r>
        <w:rPr>
          <w:rFonts w:ascii="Times New Roman" w:hAnsi="Times New Roman" w:cs="Times New Roman"/>
          <w:iCs/>
          <w:spacing w:val="-3"/>
          <w:sz w:val="24"/>
          <w:szCs w:val="24"/>
        </w:rPr>
        <w:br/>
      </w:r>
      <w:r w:rsidRPr="00FA1C03">
        <w:rPr>
          <w:rFonts w:ascii="Times New Roman" w:hAnsi="Times New Roman" w:cs="Times New Roman"/>
          <w:iCs/>
          <w:spacing w:val="-3"/>
          <w:sz w:val="24"/>
          <w:szCs w:val="24"/>
        </w:rPr>
        <w:t xml:space="preserve">3,3 процента, исполнение – 3,2 процента), что связано с уменьшением расходов на </w:t>
      </w:r>
      <w:r w:rsidRPr="00FA1C03">
        <w:rPr>
          <w:rFonts w:ascii="Times New Roman" w:hAnsi="Times New Roman" w:cs="Times New Roman"/>
          <w:iCs/>
          <w:spacing w:val="-3"/>
          <w:sz w:val="24"/>
          <w:szCs w:val="24"/>
        </w:rPr>
        <w:lastRenderedPageBreak/>
        <w:t>обслуживание государственного долга области в 2017 году, как по плановым показателям, так и по результатам исполнения -  в 1,8 р</w:t>
      </w:r>
      <w:r w:rsidR="004C3485">
        <w:rPr>
          <w:rFonts w:ascii="Times New Roman" w:hAnsi="Times New Roman" w:cs="Times New Roman"/>
          <w:iCs/>
          <w:spacing w:val="-3"/>
          <w:sz w:val="24"/>
          <w:szCs w:val="24"/>
        </w:rPr>
        <w:t>аза по сравнению с 2016 годом.</w:t>
      </w:r>
    </w:p>
    <w:p w:rsidR="009C45F8" w:rsidRDefault="009C45F8" w:rsidP="009C45F8">
      <w:pPr>
        <w:spacing w:after="0" w:line="240" w:lineRule="auto"/>
        <w:ind w:firstLine="708"/>
        <w:jc w:val="both"/>
        <w:rPr>
          <w:rFonts w:ascii="Times New Roman" w:hAnsi="Times New Roman" w:cs="Times New Roman"/>
          <w:b/>
          <w:i/>
          <w:sz w:val="24"/>
          <w:szCs w:val="24"/>
        </w:rPr>
      </w:pPr>
      <w:r w:rsidRPr="00FA1C03">
        <w:rPr>
          <w:rFonts w:ascii="Times New Roman" w:hAnsi="Times New Roman" w:cs="Times New Roman"/>
          <w:b/>
          <w:i/>
          <w:sz w:val="24"/>
          <w:szCs w:val="24"/>
        </w:rPr>
        <w:t xml:space="preserve">Проведенная в ходе проверки краткая оценка качества управления государственным долгом области за 2017 год показала, что в течение финансового года долговая нагрузка на областной бюджет уменьшилась. Объем долговых обязательств по кредитам кредитных организаций снизился на 13,9 процента, по бюджетным </w:t>
      </w:r>
      <w:r>
        <w:rPr>
          <w:rFonts w:ascii="Times New Roman" w:hAnsi="Times New Roman" w:cs="Times New Roman"/>
          <w:b/>
          <w:i/>
          <w:sz w:val="24"/>
          <w:szCs w:val="24"/>
        </w:rPr>
        <w:br/>
      </w:r>
      <w:r w:rsidRPr="00FA1C03">
        <w:rPr>
          <w:rFonts w:ascii="Times New Roman" w:hAnsi="Times New Roman" w:cs="Times New Roman"/>
          <w:b/>
          <w:i/>
          <w:sz w:val="24"/>
          <w:szCs w:val="24"/>
        </w:rPr>
        <w:t xml:space="preserve">кредитам – на 7,1 процента, соответственно наблюдается снижение по сравнению с 2016 годом расходов на обслуживание </w:t>
      </w:r>
      <w:r w:rsidR="004C3485">
        <w:rPr>
          <w:rFonts w:ascii="Times New Roman" w:hAnsi="Times New Roman" w:cs="Times New Roman"/>
          <w:b/>
          <w:i/>
          <w:sz w:val="24"/>
          <w:szCs w:val="24"/>
        </w:rPr>
        <w:t>государственного долга области.</w:t>
      </w:r>
    </w:p>
    <w:p w:rsidR="009C45F8" w:rsidRPr="00FA1C03" w:rsidRDefault="009C45F8" w:rsidP="009C45F8">
      <w:pPr>
        <w:spacing w:after="0" w:line="240" w:lineRule="auto"/>
        <w:ind w:firstLine="708"/>
        <w:jc w:val="both"/>
        <w:rPr>
          <w:rFonts w:ascii="Times New Roman" w:hAnsi="Times New Roman" w:cs="Times New Roman"/>
          <w:b/>
          <w:i/>
          <w:sz w:val="24"/>
          <w:szCs w:val="24"/>
        </w:rPr>
      </w:pPr>
      <w:r w:rsidRPr="00FA1C03">
        <w:rPr>
          <w:rFonts w:ascii="Times New Roman" w:hAnsi="Times New Roman" w:cs="Times New Roman"/>
          <w:b/>
          <w:i/>
          <w:sz w:val="24"/>
          <w:szCs w:val="24"/>
        </w:rPr>
        <w:t>Наибольшую долю в структуре государственного долга области занимают обязательства по бюдж</w:t>
      </w:r>
      <w:r w:rsidR="004C3485">
        <w:rPr>
          <w:rFonts w:ascii="Times New Roman" w:hAnsi="Times New Roman" w:cs="Times New Roman"/>
          <w:b/>
          <w:i/>
          <w:sz w:val="24"/>
          <w:szCs w:val="24"/>
        </w:rPr>
        <w:t>етным кредитам – 67,2 процента.</w:t>
      </w:r>
    </w:p>
    <w:p w:rsidR="009C45F8" w:rsidRPr="00F10859" w:rsidRDefault="009C45F8" w:rsidP="009C45F8">
      <w:pPr>
        <w:spacing w:after="0" w:line="240" w:lineRule="auto"/>
        <w:ind w:firstLine="708"/>
        <w:jc w:val="both"/>
        <w:rPr>
          <w:rFonts w:ascii="Times New Roman" w:hAnsi="Times New Roman" w:cs="Times New Roman"/>
          <w:b/>
          <w:i/>
          <w:sz w:val="24"/>
          <w:szCs w:val="24"/>
        </w:rPr>
      </w:pPr>
      <w:r w:rsidRPr="001A299F">
        <w:rPr>
          <w:rFonts w:ascii="Times New Roman" w:hAnsi="Times New Roman" w:cs="Times New Roman"/>
          <w:b/>
          <w:i/>
          <w:sz w:val="24"/>
          <w:szCs w:val="24"/>
        </w:rPr>
        <w:t>В 201</w:t>
      </w:r>
      <w:r>
        <w:rPr>
          <w:rFonts w:ascii="Times New Roman" w:hAnsi="Times New Roman" w:cs="Times New Roman"/>
          <w:b/>
          <w:i/>
          <w:sz w:val="24"/>
          <w:szCs w:val="24"/>
        </w:rPr>
        <w:t>7</w:t>
      </w:r>
      <w:r w:rsidRPr="001A299F">
        <w:rPr>
          <w:rFonts w:ascii="Times New Roman" w:hAnsi="Times New Roman" w:cs="Times New Roman"/>
          <w:b/>
          <w:i/>
          <w:sz w:val="24"/>
          <w:szCs w:val="24"/>
        </w:rPr>
        <w:t xml:space="preserve"> году т</w:t>
      </w:r>
      <w:r w:rsidRPr="001A299F">
        <w:rPr>
          <w:rFonts w:ascii="Times New Roman" w:hAnsi="Times New Roman" w:cs="Times New Roman"/>
          <w:b/>
          <w:i/>
          <w:iCs/>
          <w:spacing w:val="-3"/>
          <w:sz w:val="24"/>
          <w:szCs w:val="24"/>
        </w:rPr>
        <w:t>емпы прироста налоговых и неналоговых доходов областного бюджета опережают темпы прироста государственного долга Амурской области</w:t>
      </w:r>
      <w:r>
        <w:rPr>
          <w:rFonts w:ascii="Times New Roman" w:hAnsi="Times New Roman" w:cs="Times New Roman"/>
          <w:b/>
          <w:i/>
          <w:iCs/>
          <w:spacing w:val="-3"/>
          <w:sz w:val="24"/>
          <w:szCs w:val="24"/>
        </w:rPr>
        <w:t xml:space="preserve"> </w:t>
      </w:r>
      <w:r w:rsidR="00783FBA">
        <w:rPr>
          <w:rFonts w:ascii="Times New Roman" w:hAnsi="Times New Roman" w:cs="Times New Roman"/>
          <w:b/>
          <w:i/>
          <w:iCs/>
          <w:spacing w:val="-3"/>
          <w:sz w:val="24"/>
          <w:szCs w:val="24"/>
        </w:rPr>
        <w:br/>
      </w:r>
      <w:r>
        <w:rPr>
          <w:rFonts w:ascii="Times New Roman" w:hAnsi="Times New Roman" w:cs="Times New Roman"/>
          <w:b/>
          <w:i/>
          <w:iCs/>
          <w:spacing w:val="-3"/>
          <w:sz w:val="24"/>
          <w:szCs w:val="24"/>
        </w:rPr>
        <w:t>(</w:t>
      </w:r>
      <w:r w:rsidR="00783FBA">
        <w:rPr>
          <w:rFonts w:ascii="Times New Roman" w:hAnsi="Times New Roman" w:cs="Times New Roman"/>
          <w:b/>
          <w:i/>
          <w:iCs/>
          <w:spacing w:val="-3"/>
          <w:sz w:val="24"/>
          <w:szCs w:val="24"/>
        </w:rPr>
        <w:t>по государственному долгу</w:t>
      </w:r>
      <w:r w:rsidRPr="00F10859">
        <w:rPr>
          <w:rFonts w:ascii="Times New Roman" w:hAnsi="Times New Roman" w:cs="Times New Roman"/>
          <w:b/>
          <w:i/>
          <w:iCs/>
          <w:spacing w:val="-3"/>
          <w:sz w:val="24"/>
          <w:szCs w:val="24"/>
        </w:rPr>
        <w:t xml:space="preserve"> наблюдается снижение объема долга по сравнению с </w:t>
      </w:r>
      <w:r w:rsidR="00783FBA">
        <w:rPr>
          <w:rFonts w:ascii="Times New Roman" w:hAnsi="Times New Roman" w:cs="Times New Roman"/>
          <w:b/>
          <w:i/>
          <w:iCs/>
          <w:spacing w:val="-3"/>
          <w:sz w:val="24"/>
          <w:szCs w:val="24"/>
        </w:rPr>
        <w:br/>
      </w:r>
      <w:r w:rsidRPr="00F10859">
        <w:rPr>
          <w:rFonts w:ascii="Times New Roman" w:hAnsi="Times New Roman" w:cs="Times New Roman"/>
          <w:b/>
          <w:i/>
          <w:iCs/>
          <w:spacing w:val="-3"/>
          <w:sz w:val="24"/>
          <w:szCs w:val="24"/>
        </w:rPr>
        <w:t>2016 годом на 9,6 процента).</w:t>
      </w:r>
    </w:p>
    <w:p w:rsidR="009C45F8" w:rsidRDefault="009C45F8" w:rsidP="00783FBA">
      <w:pPr>
        <w:spacing w:after="0" w:line="240" w:lineRule="auto"/>
        <w:ind w:firstLine="708"/>
        <w:jc w:val="both"/>
        <w:rPr>
          <w:rFonts w:ascii="Times New Roman" w:hAnsi="Times New Roman" w:cs="Times New Roman"/>
          <w:sz w:val="24"/>
          <w:szCs w:val="24"/>
        </w:rPr>
      </w:pPr>
      <w:r w:rsidRPr="00027706">
        <w:rPr>
          <w:rFonts w:ascii="Times New Roman" w:hAnsi="Times New Roman" w:cs="Times New Roman"/>
          <w:sz w:val="24"/>
          <w:szCs w:val="24"/>
        </w:rPr>
        <w:t>Приказом министерства финансов Амурской области от 13.07.2016 № 179/1 (ред. от 18.08.2017) утверждена методика прогнозирования поступлений по источникам финансирования дефицита областного бюджета, которая устанавливает порядок расчета прогнозных объемов возможного привлечени</w:t>
      </w:r>
      <w:r w:rsidR="004C3485">
        <w:rPr>
          <w:rFonts w:ascii="Times New Roman" w:hAnsi="Times New Roman" w:cs="Times New Roman"/>
          <w:sz w:val="24"/>
          <w:szCs w:val="24"/>
        </w:rPr>
        <w:t>я новых долговых обязательств.</w:t>
      </w:r>
    </w:p>
    <w:p w:rsidR="009C45F8" w:rsidRPr="00027706" w:rsidRDefault="009C45F8" w:rsidP="009C45F8">
      <w:pPr>
        <w:spacing w:after="0" w:line="240" w:lineRule="auto"/>
        <w:ind w:firstLine="708"/>
        <w:jc w:val="both"/>
        <w:rPr>
          <w:rFonts w:ascii="Times New Roman" w:hAnsi="Times New Roman" w:cs="Times New Roman"/>
          <w:iCs/>
          <w:spacing w:val="-3"/>
          <w:sz w:val="24"/>
          <w:szCs w:val="24"/>
        </w:rPr>
      </w:pPr>
      <w:r w:rsidRPr="00027706">
        <w:rPr>
          <w:rFonts w:ascii="Times New Roman" w:eastAsia="Calibri" w:hAnsi="Times New Roman" w:cs="Times New Roman"/>
          <w:sz w:val="24"/>
          <w:szCs w:val="24"/>
        </w:rPr>
        <w:t xml:space="preserve">Распоряжением Правительства Амурской </w:t>
      </w:r>
      <w:r>
        <w:rPr>
          <w:rFonts w:ascii="Times New Roman" w:eastAsia="Calibri" w:hAnsi="Times New Roman" w:cs="Times New Roman"/>
          <w:sz w:val="24"/>
          <w:szCs w:val="24"/>
        </w:rPr>
        <w:t xml:space="preserve">области </w:t>
      </w:r>
      <w:r w:rsidRPr="00027706">
        <w:rPr>
          <w:rFonts w:ascii="Times New Roman" w:eastAsia="Calibri" w:hAnsi="Times New Roman" w:cs="Times New Roman"/>
          <w:sz w:val="24"/>
          <w:szCs w:val="24"/>
        </w:rPr>
        <w:t>от 06.07.2016 № 67-р (ред. от 20.09.2017) утверждена долговая политика Амурской области на 2017 и на плановый период 2018-2019 годов. Значения показателей реализации мероприятий долговой политики, утвержденные указанным распор</w:t>
      </w:r>
      <w:r w:rsidR="004C3485">
        <w:rPr>
          <w:rFonts w:ascii="Times New Roman" w:eastAsia="Calibri" w:hAnsi="Times New Roman" w:cs="Times New Roman"/>
          <w:sz w:val="24"/>
          <w:szCs w:val="24"/>
        </w:rPr>
        <w:t>яжением на 2017 год, соблюдены.</w:t>
      </w:r>
    </w:p>
    <w:p w:rsidR="00783FBA" w:rsidRDefault="00783FBA" w:rsidP="009C45F8">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p>
    <w:p w:rsidR="009C45F8" w:rsidRPr="001A299F" w:rsidRDefault="009C45F8" w:rsidP="009C45F8">
      <w:pPr>
        <w:widowControl w:val="0"/>
        <w:shd w:val="clear" w:color="auto" w:fill="FFFFFF"/>
        <w:tabs>
          <w:tab w:val="left" w:pos="0"/>
        </w:tabs>
        <w:autoSpaceDE w:val="0"/>
        <w:autoSpaceDN w:val="0"/>
        <w:adjustRightInd w:val="0"/>
        <w:spacing w:after="0"/>
        <w:ind w:firstLine="720"/>
        <w:jc w:val="center"/>
        <w:rPr>
          <w:rFonts w:ascii="Times New Roman" w:eastAsia="Times New Roman" w:hAnsi="Times New Roman" w:cs="Times New Roman"/>
          <w:b/>
          <w:sz w:val="24"/>
          <w:szCs w:val="24"/>
          <w:lang w:eastAsia="ru-RU"/>
        </w:rPr>
      </w:pPr>
      <w:r w:rsidRPr="001A299F">
        <w:rPr>
          <w:rFonts w:ascii="Times New Roman" w:eastAsia="Times New Roman" w:hAnsi="Times New Roman" w:cs="Times New Roman"/>
          <w:b/>
          <w:sz w:val="24"/>
          <w:szCs w:val="24"/>
          <w:lang w:eastAsia="ru-RU"/>
        </w:rPr>
        <w:t>7. Анализ состояния муниципального долга Амурской области за 201</w:t>
      </w:r>
      <w:r>
        <w:rPr>
          <w:rFonts w:ascii="Times New Roman" w:eastAsia="Times New Roman" w:hAnsi="Times New Roman" w:cs="Times New Roman"/>
          <w:b/>
          <w:sz w:val="24"/>
          <w:szCs w:val="24"/>
          <w:lang w:eastAsia="ru-RU"/>
        </w:rPr>
        <w:t>7</w:t>
      </w:r>
      <w:r w:rsidRPr="001A299F">
        <w:rPr>
          <w:rFonts w:ascii="Times New Roman" w:eastAsia="Times New Roman" w:hAnsi="Times New Roman" w:cs="Times New Roman"/>
          <w:b/>
          <w:sz w:val="24"/>
          <w:szCs w:val="24"/>
          <w:lang w:eastAsia="ru-RU"/>
        </w:rPr>
        <w:t xml:space="preserve"> год</w:t>
      </w:r>
    </w:p>
    <w:p w:rsidR="009C45F8" w:rsidRPr="00040C9B" w:rsidRDefault="009C45F8" w:rsidP="009C45F8">
      <w:pPr>
        <w:shd w:val="clear" w:color="auto" w:fill="FFFFFF"/>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w:t>
      </w:r>
      <w:r w:rsidRPr="00040C9B">
        <w:rPr>
          <w:rFonts w:ascii="Times New Roman" w:hAnsi="Times New Roman" w:cs="Times New Roman"/>
          <w:sz w:val="24"/>
          <w:szCs w:val="24"/>
        </w:rPr>
        <w:t>униципальный долг по бюджетным кредитам, привлеченным в местные бюджеты от других бюджетов бюджетной системы Российской Федерации, составил:</w:t>
      </w:r>
    </w:p>
    <w:p w:rsidR="009C45F8" w:rsidRPr="00040C9B" w:rsidRDefault="006515A3" w:rsidP="009C45F8">
      <w:pPr>
        <w:shd w:val="clear" w:color="auto" w:fill="FFFFFF"/>
        <w:tabs>
          <w:tab w:val="left" w:pos="0"/>
        </w:tabs>
        <w:spacing w:after="0" w:line="240" w:lineRule="auto"/>
        <w:ind w:firstLine="720"/>
        <w:jc w:val="both"/>
        <w:rPr>
          <w:rFonts w:ascii="Times New Roman" w:hAnsi="Times New Roman" w:cs="Times New Roman"/>
          <w:spacing w:val="-8"/>
          <w:sz w:val="24"/>
          <w:szCs w:val="24"/>
        </w:rPr>
      </w:pPr>
      <w:r>
        <w:rPr>
          <w:rFonts w:ascii="Times New Roman" w:hAnsi="Times New Roman" w:cs="Times New Roman"/>
          <w:b/>
          <w:i/>
          <w:sz w:val="24"/>
          <w:szCs w:val="24"/>
        </w:rPr>
        <w:t>по состоянию на 01.01.2017 -</w:t>
      </w:r>
      <w:r w:rsidR="009C45F8" w:rsidRPr="00040C9B">
        <w:rPr>
          <w:rFonts w:ascii="Times New Roman" w:hAnsi="Times New Roman" w:cs="Times New Roman"/>
          <w:b/>
          <w:i/>
          <w:sz w:val="24"/>
          <w:szCs w:val="24"/>
        </w:rPr>
        <w:t xml:space="preserve"> 237439,3</w:t>
      </w:r>
      <w:r w:rsidR="009C45F8" w:rsidRPr="00040C9B">
        <w:rPr>
          <w:rFonts w:ascii="Times New Roman" w:hAnsi="Times New Roman" w:cs="Times New Roman"/>
          <w:b/>
          <w:i/>
          <w:spacing w:val="-7"/>
          <w:sz w:val="24"/>
          <w:szCs w:val="24"/>
        </w:rPr>
        <w:t xml:space="preserve"> </w:t>
      </w:r>
      <w:r w:rsidR="009C45F8" w:rsidRPr="00040C9B">
        <w:rPr>
          <w:rFonts w:ascii="Times New Roman" w:hAnsi="Times New Roman" w:cs="Times New Roman"/>
          <w:b/>
          <w:i/>
          <w:spacing w:val="-8"/>
          <w:sz w:val="24"/>
          <w:szCs w:val="24"/>
        </w:rPr>
        <w:t>тыс. рублей</w:t>
      </w:r>
      <w:r w:rsidR="009C45F8" w:rsidRPr="00040C9B">
        <w:rPr>
          <w:rFonts w:ascii="Times New Roman" w:hAnsi="Times New Roman" w:cs="Times New Roman"/>
          <w:spacing w:val="-8"/>
          <w:sz w:val="24"/>
          <w:szCs w:val="24"/>
        </w:rPr>
        <w:t>, в том числе:</w:t>
      </w:r>
    </w:p>
    <w:p w:rsidR="009C45F8" w:rsidRPr="00040C9B" w:rsidRDefault="009C45F8" w:rsidP="009C45F8">
      <w:pPr>
        <w:shd w:val="clear" w:color="auto" w:fill="FFFFFF"/>
        <w:spacing w:after="0" w:line="240" w:lineRule="auto"/>
        <w:ind w:firstLine="720"/>
        <w:jc w:val="both"/>
        <w:rPr>
          <w:rFonts w:ascii="Times New Roman" w:hAnsi="Times New Roman" w:cs="Times New Roman"/>
          <w:spacing w:val="-7"/>
          <w:sz w:val="24"/>
          <w:szCs w:val="24"/>
        </w:rPr>
      </w:pPr>
      <w:r w:rsidRPr="00040C9B">
        <w:rPr>
          <w:rFonts w:ascii="Times New Roman" w:hAnsi="Times New Roman" w:cs="Times New Roman"/>
          <w:spacing w:val="-10"/>
          <w:sz w:val="24"/>
          <w:szCs w:val="24"/>
        </w:rPr>
        <w:t xml:space="preserve">-по бюджетным кредитам, предоставленным бюджетам муниципальных образований </w:t>
      </w:r>
      <w:r w:rsidRPr="00040C9B">
        <w:rPr>
          <w:rFonts w:ascii="Times New Roman" w:hAnsi="Times New Roman" w:cs="Times New Roman"/>
          <w:spacing w:val="-7"/>
          <w:sz w:val="24"/>
          <w:szCs w:val="24"/>
        </w:rPr>
        <w:t>на частичное покрытие дефицита местных бюджетов – 212833,8 тыс. рублей;</w:t>
      </w:r>
    </w:p>
    <w:p w:rsidR="009C45F8" w:rsidRPr="00040C9B" w:rsidRDefault="009C45F8" w:rsidP="009C45F8">
      <w:pPr>
        <w:shd w:val="clear" w:color="auto" w:fill="FFFFFF"/>
        <w:spacing w:after="0" w:line="240" w:lineRule="auto"/>
        <w:ind w:firstLine="720"/>
        <w:jc w:val="both"/>
        <w:rPr>
          <w:rFonts w:ascii="Times New Roman" w:hAnsi="Times New Roman" w:cs="Times New Roman"/>
          <w:sz w:val="24"/>
        </w:rPr>
      </w:pPr>
      <w:r w:rsidRPr="00040C9B">
        <w:rPr>
          <w:rFonts w:ascii="Times New Roman" w:hAnsi="Times New Roman" w:cs="Times New Roman"/>
          <w:spacing w:val="-7"/>
          <w:sz w:val="24"/>
          <w:szCs w:val="24"/>
        </w:rPr>
        <w:t xml:space="preserve">-по бюджетным кредитам, предоставленным бюджетам муниципальных образований  </w:t>
      </w:r>
      <w:r w:rsidRPr="00040C9B">
        <w:rPr>
          <w:rFonts w:ascii="Times New Roman" w:hAnsi="Times New Roman" w:cs="Times New Roman"/>
          <w:sz w:val="24"/>
        </w:rPr>
        <w:t>для осуществления мероприятий, связанных с ликвидацией последствий стихийных бедствий – 24605,5 тыс. рублей;</w:t>
      </w:r>
    </w:p>
    <w:p w:rsidR="009C45F8" w:rsidRPr="00040C9B" w:rsidRDefault="009C45F8" w:rsidP="009C45F8">
      <w:pPr>
        <w:shd w:val="clear" w:color="auto" w:fill="FFFFFF"/>
        <w:tabs>
          <w:tab w:val="left" w:pos="0"/>
        </w:tabs>
        <w:spacing w:after="0" w:line="240" w:lineRule="auto"/>
        <w:ind w:firstLine="720"/>
        <w:jc w:val="both"/>
        <w:rPr>
          <w:rFonts w:ascii="Times New Roman" w:hAnsi="Times New Roman" w:cs="Times New Roman"/>
          <w:spacing w:val="-8"/>
          <w:sz w:val="24"/>
          <w:szCs w:val="24"/>
        </w:rPr>
      </w:pPr>
      <w:r w:rsidRPr="00040C9B">
        <w:rPr>
          <w:rFonts w:ascii="Times New Roman" w:hAnsi="Times New Roman" w:cs="Times New Roman"/>
          <w:b/>
          <w:i/>
          <w:sz w:val="24"/>
          <w:szCs w:val="24"/>
        </w:rPr>
        <w:t xml:space="preserve">по состоянию на 01.01.2018 – 155817,2 </w:t>
      </w:r>
      <w:r w:rsidRPr="00040C9B">
        <w:rPr>
          <w:rFonts w:ascii="Times New Roman" w:hAnsi="Times New Roman" w:cs="Times New Roman"/>
          <w:b/>
          <w:i/>
          <w:spacing w:val="-8"/>
          <w:sz w:val="24"/>
          <w:szCs w:val="24"/>
        </w:rPr>
        <w:t>тыс. рублей</w:t>
      </w:r>
      <w:r w:rsidRPr="00040C9B">
        <w:rPr>
          <w:rFonts w:ascii="Times New Roman" w:hAnsi="Times New Roman" w:cs="Times New Roman"/>
          <w:spacing w:val="-8"/>
          <w:sz w:val="24"/>
          <w:szCs w:val="24"/>
        </w:rPr>
        <w:t>, в том числе:</w:t>
      </w:r>
    </w:p>
    <w:p w:rsidR="009C45F8" w:rsidRPr="00040C9B" w:rsidRDefault="009C45F8" w:rsidP="009C45F8">
      <w:pPr>
        <w:shd w:val="clear" w:color="auto" w:fill="FFFFFF"/>
        <w:spacing w:after="0" w:line="240" w:lineRule="auto"/>
        <w:ind w:firstLine="720"/>
        <w:jc w:val="both"/>
        <w:rPr>
          <w:rFonts w:ascii="Times New Roman" w:hAnsi="Times New Roman" w:cs="Times New Roman"/>
          <w:spacing w:val="-7"/>
          <w:sz w:val="24"/>
          <w:szCs w:val="24"/>
        </w:rPr>
      </w:pPr>
      <w:r w:rsidRPr="00040C9B">
        <w:rPr>
          <w:rFonts w:ascii="Times New Roman" w:hAnsi="Times New Roman" w:cs="Times New Roman"/>
          <w:spacing w:val="-10"/>
          <w:sz w:val="24"/>
          <w:szCs w:val="24"/>
        </w:rPr>
        <w:t xml:space="preserve">-по бюджетным кредитам, предоставленным бюджетам муниципальных образований </w:t>
      </w:r>
      <w:r w:rsidRPr="00040C9B">
        <w:rPr>
          <w:rFonts w:ascii="Times New Roman" w:hAnsi="Times New Roman" w:cs="Times New Roman"/>
          <w:spacing w:val="-7"/>
          <w:sz w:val="24"/>
          <w:szCs w:val="24"/>
        </w:rPr>
        <w:t>на частичное покрытие дефицита местных бюджетов – 131211,7  тыс. рублей;</w:t>
      </w:r>
    </w:p>
    <w:p w:rsidR="009C45F8" w:rsidRDefault="009C45F8" w:rsidP="009C45F8">
      <w:pPr>
        <w:shd w:val="clear" w:color="auto" w:fill="FFFFFF"/>
        <w:spacing w:after="0" w:line="240" w:lineRule="auto"/>
        <w:ind w:firstLine="720"/>
        <w:jc w:val="both"/>
        <w:rPr>
          <w:rFonts w:ascii="Times New Roman" w:hAnsi="Times New Roman" w:cs="Times New Roman"/>
          <w:sz w:val="24"/>
        </w:rPr>
      </w:pPr>
      <w:r w:rsidRPr="00040C9B">
        <w:rPr>
          <w:rFonts w:ascii="Times New Roman" w:hAnsi="Times New Roman" w:cs="Times New Roman"/>
          <w:spacing w:val="-7"/>
          <w:sz w:val="24"/>
          <w:szCs w:val="24"/>
        </w:rPr>
        <w:t xml:space="preserve">-по бюджетным кредитам, предоставленным бюджетам муниципальных образований </w:t>
      </w:r>
      <w:r w:rsidRPr="00040C9B">
        <w:rPr>
          <w:rFonts w:ascii="Times New Roman" w:hAnsi="Times New Roman" w:cs="Times New Roman"/>
          <w:sz w:val="24"/>
        </w:rPr>
        <w:t>для осуществления мероприятий, связанных с ликвидацией последствий стихийных бедствий – 24605,5 тыс. рублей.</w:t>
      </w:r>
    </w:p>
    <w:p w:rsidR="00273AB9" w:rsidRPr="001A027F" w:rsidRDefault="00273AB9" w:rsidP="00273AB9">
      <w:pPr>
        <w:shd w:val="clear" w:color="auto" w:fill="FFFFFF"/>
        <w:spacing w:after="0" w:line="240" w:lineRule="auto"/>
        <w:ind w:right="10" w:firstLine="720"/>
        <w:jc w:val="both"/>
        <w:rPr>
          <w:rFonts w:ascii="Times New Roman" w:hAnsi="Times New Roman" w:cs="Times New Roman"/>
          <w:spacing w:val="-5"/>
          <w:sz w:val="24"/>
          <w:szCs w:val="24"/>
        </w:rPr>
      </w:pPr>
      <w:r w:rsidRPr="001A027F">
        <w:rPr>
          <w:rFonts w:ascii="Times New Roman" w:hAnsi="Times New Roman" w:cs="Times New Roman"/>
          <w:spacing w:val="-5"/>
          <w:sz w:val="24"/>
          <w:szCs w:val="24"/>
        </w:rPr>
        <w:t xml:space="preserve">В 2017 году Законом </w:t>
      </w:r>
      <w:r w:rsidRPr="001A027F">
        <w:rPr>
          <w:rFonts w:ascii="Times New Roman" w:hAnsi="Times New Roman" w:cs="Times New Roman"/>
          <w:spacing w:val="-10"/>
          <w:sz w:val="24"/>
          <w:szCs w:val="24"/>
        </w:rPr>
        <w:t xml:space="preserve">Амурской области от 20.12.2016 № 27-ОЗ </w:t>
      </w:r>
      <w:r w:rsidRPr="001A027F">
        <w:rPr>
          <w:rFonts w:ascii="Times New Roman" w:hAnsi="Times New Roman" w:cs="Times New Roman"/>
          <w:spacing w:val="-9"/>
          <w:sz w:val="24"/>
          <w:szCs w:val="24"/>
        </w:rPr>
        <w:t>«Об областном бюджете на 2017 год и плановый период 2018 и 2019 годов» (ред. от 21.12.2017) предоставление бюджетных кредитов бюджетам муниципальных образований области из облас</w:t>
      </w:r>
      <w:r w:rsidR="004C3485">
        <w:rPr>
          <w:rFonts w:ascii="Times New Roman" w:hAnsi="Times New Roman" w:cs="Times New Roman"/>
          <w:spacing w:val="-9"/>
          <w:sz w:val="24"/>
          <w:szCs w:val="24"/>
        </w:rPr>
        <w:t>тного бюджета не предусмотрено.</w:t>
      </w:r>
    </w:p>
    <w:p w:rsidR="009C45F8" w:rsidRPr="00040C9B" w:rsidRDefault="009C45F8" w:rsidP="009C45F8">
      <w:pPr>
        <w:shd w:val="clear" w:color="auto" w:fill="FFFFFF"/>
        <w:spacing w:after="0" w:line="240" w:lineRule="auto"/>
        <w:ind w:firstLine="720"/>
        <w:jc w:val="both"/>
        <w:rPr>
          <w:rFonts w:ascii="Times New Roman" w:hAnsi="Times New Roman" w:cs="Times New Roman"/>
          <w:sz w:val="24"/>
          <w:szCs w:val="24"/>
        </w:rPr>
      </w:pPr>
      <w:r w:rsidRPr="00040C9B">
        <w:rPr>
          <w:rFonts w:ascii="Times New Roman" w:hAnsi="Times New Roman" w:cs="Times New Roman"/>
          <w:sz w:val="24"/>
          <w:szCs w:val="24"/>
        </w:rPr>
        <w:t>Объем долговых обязательств муниципальных образований перед областным бюджетом по состоянию на 01.01.2018 уменьшил</w:t>
      </w:r>
      <w:r w:rsidR="004C3485">
        <w:rPr>
          <w:rFonts w:ascii="Times New Roman" w:hAnsi="Times New Roman" w:cs="Times New Roman"/>
          <w:sz w:val="24"/>
          <w:szCs w:val="24"/>
        </w:rPr>
        <w:t xml:space="preserve">ся на 81622,1 тыс. рублей, или </w:t>
      </w:r>
      <w:r w:rsidRPr="00040C9B">
        <w:rPr>
          <w:rFonts w:ascii="Times New Roman" w:hAnsi="Times New Roman" w:cs="Times New Roman"/>
          <w:sz w:val="24"/>
          <w:szCs w:val="24"/>
        </w:rPr>
        <w:br/>
        <w:t>34,4 процента по сравнению с долговыми обязательствам</w:t>
      </w:r>
      <w:r w:rsidR="004C3485">
        <w:rPr>
          <w:rFonts w:ascii="Times New Roman" w:hAnsi="Times New Roman" w:cs="Times New Roman"/>
          <w:sz w:val="24"/>
          <w:szCs w:val="24"/>
        </w:rPr>
        <w:t>и по состоянию на 01.01.2017.</w:t>
      </w:r>
    </w:p>
    <w:p w:rsidR="009C45F8" w:rsidRDefault="009C45F8" w:rsidP="009C45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A299F">
        <w:rPr>
          <w:rFonts w:ascii="Times New Roman" w:eastAsia="Times New Roman" w:hAnsi="Times New Roman" w:cs="Times New Roman"/>
          <w:sz w:val="24"/>
          <w:szCs w:val="24"/>
          <w:lang w:eastAsia="ru-RU"/>
        </w:rPr>
        <w:t>Анализ задолженности бюджетов муниципальных образований по бюджетным кредитам перед областным бюджетом за 201</w:t>
      </w:r>
      <w:r>
        <w:rPr>
          <w:rFonts w:ascii="Times New Roman" w:eastAsia="Times New Roman" w:hAnsi="Times New Roman" w:cs="Times New Roman"/>
          <w:sz w:val="24"/>
          <w:szCs w:val="24"/>
          <w:lang w:eastAsia="ru-RU"/>
        </w:rPr>
        <w:t>7</w:t>
      </w:r>
      <w:r w:rsidRPr="001A299F">
        <w:rPr>
          <w:rFonts w:ascii="Times New Roman" w:eastAsia="Times New Roman" w:hAnsi="Times New Roman" w:cs="Times New Roman"/>
          <w:sz w:val="24"/>
          <w:szCs w:val="24"/>
          <w:lang w:eastAsia="ru-RU"/>
        </w:rPr>
        <w:t xml:space="preserve"> год приведен </w:t>
      </w:r>
      <w:r w:rsidRPr="00CE2194">
        <w:rPr>
          <w:rFonts w:ascii="Times New Roman" w:eastAsia="Times New Roman" w:hAnsi="Times New Roman" w:cs="Times New Roman"/>
          <w:sz w:val="24"/>
          <w:szCs w:val="24"/>
          <w:lang w:eastAsia="ru-RU"/>
        </w:rPr>
        <w:t xml:space="preserve">в </w:t>
      </w:r>
      <w:r w:rsidRPr="006515A3">
        <w:rPr>
          <w:rFonts w:ascii="Times New Roman" w:eastAsia="Times New Roman" w:hAnsi="Times New Roman" w:cs="Times New Roman"/>
          <w:sz w:val="24"/>
          <w:szCs w:val="24"/>
          <w:lang w:eastAsia="ru-RU"/>
        </w:rPr>
        <w:t>таблице 1</w:t>
      </w:r>
      <w:r w:rsidR="006515A3" w:rsidRPr="006515A3">
        <w:rPr>
          <w:rFonts w:ascii="Times New Roman" w:eastAsia="Times New Roman" w:hAnsi="Times New Roman" w:cs="Times New Roman"/>
          <w:sz w:val="24"/>
          <w:szCs w:val="24"/>
          <w:lang w:eastAsia="ru-RU"/>
        </w:rPr>
        <w:t>6</w:t>
      </w:r>
      <w:r w:rsidRPr="006515A3">
        <w:rPr>
          <w:rFonts w:ascii="Times New Roman" w:eastAsia="Times New Roman" w:hAnsi="Times New Roman" w:cs="Times New Roman"/>
          <w:sz w:val="24"/>
          <w:szCs w:val="24"/>
          <w:lang w:eastAsia="ru-RU"/>
        </w:rPr>
        <w:t>.</w:t>
      </w:r>
    </w:p>
    <w:p w:rsidR="004C3485" w:rsidRPr="0048365C" w:rsidRDefault="004C3485" w:rsidP="004C3485">
      <w:pPr>
        <w:tabs>
          <w:tab w:val="left" w:pos="700"/>
        </w:tabs>
        <w:spacing w:after="0" w:line="240" w:lineRule="auto"/>
        <w:jc w:val="both"/>
        <w:outlineLvl w:val="0"/>
        <w:rPr>
          <w:rFonts w:ascii="Times New Roman" w:hAnsi="Times New Roman" w:cs="Times New Roman"/>
          <w:sz w:val="24"/>
        </w:rPr>
      </w:pPr>
      <w:r w:rsidRPr="0048365C">
        <w:rPr>
          <w:rFonts w:ascii="Times New Roman" w:hAnsi="Times New Roman" w:cs="Times New Roman"/>
          <w:sz w:val="24"/>
        </w:rPr>
        <w:t>Начислено процентов в 2017 году за пользование бюджетными кредит</w:t>
      </w:r>
      <w:r>
        <w:rPr>
          <w:rFonts w:ascii="Times New Roman" w:hAnsi="Times New Roman" w:cs="Times New Roman"/>
          <w:sz w:val="24"/>
        </w:rPr>
        <w:t>ами в сумме 2485,4 тыс. рублей.</w:t>
      </w:r>
    </w:p>
    <w:p w:rsidR="004C3485" w:rsidRPr="0048365C" w:rsidRDefault="004C3485" w:rsidP="004C3485">
      <w:pPr>
        <w:shd w:val="clear" w:color="auto" w:fill="FFFFFF"/>
        <w:spacing w:after="0" w:line="240" w:lineRule="auto"/>
        <w:ind w:firstLine="720"/>
        <w:jc w:val="both"/>
        <w:rPr>
          <w:rFonts w:ascii="Times New Roman" w:hAnsi="Times New Roman" w:cs="Times New Roman"/>
          <w:spacing w:val="-7"/>
          <w:sz w:val="24"/>
          <w:szCs w:val="24"/>
        </w:rPr>
      </w:pPr>
      <w:r w:rsidRPr="0048365C">
        <w:rPr>
          <w:rFonts w:ascii="Times New Roman" w:hAnsi="Times New Roman" w:cs="Times New Roman"/>
          <w:sz w:val="24"/>
          <w:szCs w:val="24"/>
        </w:rPr>
        <w:t xml:space="preserve">В 2017 году погашено бюджетных кредитов в сумме 81622,1 тыс. рублей, уплачено процентов за пользование бюджетными кредитами 2485,7 тыс. рублей (в том числе </w:t>
      </w:r>
      <w:r w:rsidRPr="0048365C">
        <w:rPr>
          <w:rFonts w:ascii="Times New Roman" w:hAnsi="Times New Roman" w:cs="Times New Roman"/>
          <w:sz w:val="24"/>
          <w:szCs w:val="24"/>
        </w:rPr>
        <w:br/>
        <w:t>в январе 2017 года в сумме 0,3 тыс. рублей погашены проценты</w:t>
      </w:r>
      <w:r w:rsidRPr="0048365C">
        <w:rPr>
          <w:rFonts w:ascii="Times New Roman" w:hAnsi="Times New Roman" w:cs="Times New Roman"/>
          <w:spacing w:val="-7"/>
          <w:sz w:val="24"/>
          <w:szCs w:val="24"/>
        </w:rPr>
        <w:t xml:space="preserve"> за пользование</w:t>
      </w:r>
      <w:r w:rsidRPr="0048365C">
        <w:rPr>
          <w:rFonts w:ascii="Times New Roman" w:hAnsi="Times New Roman" w:cs="Times New Roman"/>
          <w:sz w:val="24"/>
          <w:szCs w:val="24"/>
        </w:rPr>
        <w:t xml:space="preserve"> бюджетными кредитами, предоставленными </w:t>
      </w:r>
      <w:r w:rsidRPr="0048365C">
        <w:rPr>
          <w:rFonts w:ascii="Times New Roman" w:hAnsi="Times New Roman" w:cs="Times New Roman"/>
          <w:spacing w:val="-7"/>
          <w:sz w:val="24"/>
          <w:szCs w:val="24"/>
        </w:rPr>
        <w:t>муниципальным образованиям</w:t>
      </w:r>
      <w:r w:rsidRPr="0048365C">
        <w:rPr>
          <w:rFonts w:ascii="Times New Roman" w:hAnsi="Times New Roman" w:cs="Times New Roman"/>
          <w:sz w:val="24"/>
          <w:szCs w:val="24"/>
        </w:rPr>
        <w:t xml:space="preserve"> в декабре </w:t>
      </w:r>
      <w:r w:rsidRPr="0048365C">
        <w:rPr>
          <w:rFonts w:ascii="Times New Roman" w:hAnsi="Times New Roman" w:cs="Times New Roman"/>
          <w:spacing w:val="-7"/>
          <w:sz w:val="24"/>
          <w:szCs w:val="24"/>
        </w:rPr>
        <w:t xml:space="preserve">2016 года, срок уплаты </w:t>
      </w:r>
      <w:r w:rsidRPr="0048365C">
        <w:rPr>
          <w:rFonts w:ascii="Times New Roman" w:hAnsi="Times New Roman" w:cs="Times New Roman"/>
          <w:spacing w:val="-7"/>
          <w:sz w:val="24"/>
          <w:szCs w:val="24"/>
        </w:rPr>
        <w:lastRenderedPageBreak/>
        <w:t>процентов по которым установлен - ежемесячно не позднее 15 числа месяца, следующего за истекшим месяцем).</w:t>
      </w:r>
    </w:p>
    <w:p w:rsidR="00533502" w:rsidRDefault="00533502" w:rsidP="009C45F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C45F8" w:rsidRPr="006515A3" w:rsidRDefault="009C45F8" w:rsidP="009C45F8">
      <w:pPr>
        <w:widowControl w:val="0"/>
        <w:shd w:val="clear" w:color="auto" w:fill="FFFFFF"/>
        <w:tabs>
          <w:tab w:val="left" w:pos="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515A3">
        <w:rPr>
          <w:rFonts w:ascii="Times New Roman" w:eastAsia="Times New Roman" w:hAnsi="Times New Roman" w:cs="Times New Roman"/>
          <w:sz w:val="24"/>
          <w:szCs w:val="24"/>
          <w:lang w:eastAsia="ru-RU"/>
        </w:rPr>
        <w:t>Таблица 1</w:t>
      </w:r>
      <w:r w:rsidR="006515A3" w:rsidRPr="006515A3">
        <w:rPr>
          <w:rFonts w:ascii="Times New Roman" w:eastAsia="Times New Roman" w:hAnsi="Times New Roman" w:cs="Times New Roman"/>
          <w:sz w:val="24"/>
          <w:szCs w:val="24"/>
          <w:lang w:eastAsia="ru-RU"/>
        </w:rPr>
        <w:t>6</w:t>
      </w:r>
    </w:p>
    <w:p w:rsidR="009C45F8" w:rsidRDefault="009C45F8" w:rsidP="009C45F8">
      <w:pPr>
        <w:shd w:val="clear" w:color="auto" w:fill="FFFFFF"/>
        <w:tabs>
          <w:tab w:val="left" w:pos="0"/>
        </w:tabs>
        <w:spacing w:after="0" w:line="240" w:lineRule="auto"/>
        <w:ind w:firstLine="709"/>
        <w:jc w:val="center"/>
        <w:rPr>
          <w:rFonts w:ascii="Times New Roman" w:hAnsi="Times New Roman" w:cs="Times New Roman"/>
          <w:sz w:val="24"/>
          <w:szCs w:val="24"/>
        </w:rPr>
      </w:pPr>
      <w:r w:rsidRPr="001A299F">
        <w:rPr>
          <w:rFonts w:ascii="Times New Roman" w:hAnsi="Times New Roman" w:cs="Times New Roman"/>
          <w:b/>
          <w:sz w:val="24"/>
          <w:szCs w:val="24"/>
        </w:rPr>
        <w:t>Анализ задолженности бюджетов муниципальных образований перед областным бюджетом по бюджетным кредитам за 201</w:t>
      </w:r>
      <w:r>
        <w:rPr>
          <w:rFonts w:ascii="Times New Roman" w:hAnsi="Times New Roman" w:cs="Times New Roman"/>
          <w:b/>
          <w:sz w:val="24"/>
          <w:szCs w:val="24"/>
        </w:rPr>
        <w:t>7</w:t>
      </w:r>
      <w:r w:rsidRPr="001A299F">
        <w:rPr>
          <w:rFonts w:ascii="Times New Roman" w:hAnsi="Times New Roman" w:cs="Times New Roman"/>
          <w:b/>
          <w:sz w:val="24"/>
          <w:szCs w:val="24"/>
        </w:rPr>
        <w:t xml:space="preserve"> год</w:t>
      </w:r>
    </w:p>
    <w:p w:rsidR="009C45F8" w:rsidRPr="001A299F" w:rsidRDefault="009C45F8" w:rsidP="009C45F8">
      <w:pPr>
        <w:shd w:val="clear" w:color="auto" w:fill="FFFFFF"/>
        <w:tabs>
          <w:tab w:val="left" w:pos="0"/>
        </w:tabs>
        <w:spacing w:after="0" w:line="240" w:lineRule="auto"/>
        <w:jc w:val="right"/>
        <w:rPr>
          <w:rFonts w:ascii="Times New Roman" w:hAnsi="Times New Roman" w:cs="Times New Roman"/>
          <w:sz w:val="24"/>
          <w:szCs w:val="24"/>
        </w:rPr>
      </w:pPr>
      <w:r w:rsidRPr="001A299F">
        <w:rPr>
          <w:rFonts w:ascii="Times New Roman" w:hAnsi="Times New Roman" w:cs="Times New Roman"/>
          <w:sz w:val="24"/>
          <w:szCs w:val="24"/>
        </w:rPr>
        <w:t>тыс. рублей</w:t>
      </w:r>
    </w:p>
    <w:tbl>
      <w:tblPr>
        <w:tblpPr w:leftFromText="180" w:rightFromText="180"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96"/>
        <w:gridCol w:w="972"/>
        <w:gridCol w:w="1400"/>
        <w:gridCol w:w="1293"/>
        <w:gridCol w:w="1134"/>
        <w:gridCol w:w="851"/>
      </w:tblGrid>
      <w:tr w:rsidR="009C45F8" w:rsidTr="009C45F8">
        <w:trPr>
          <w:trHeight w:val="77"/>
          <w:tblHeader/>
        </w:trPr>
        <w:tc>
          <w:tcPr>
            <w:tcW w:w="2660" w:type="dxa"/>
            <w:vMerge w:val="restart"/>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sz w:val="20"/>
                <w:szCs w:val="20"/>
              </w:rPr>
              <w:t>Наименование городского округа, муниципального района</w:t>
            </w:r>
          </w:p>
        </w:tc>
        <w:tc>
          <w:tcPr>
            <w:tcW w:w="2268" w:type="dxa"/>
            <w:gridSpan w:val="2"/>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Остаток задолженности на 01.01.2017 (основной долг)</w:t>
            </w:r>
          </w:p>
        </w:tc>
        <w:tc>
          <w:tcPr>
            <w:tcW w:w="1400" w:type="dxa"/>
            <w:vMerge w:val="restart"/>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Погашено бюджетных</w:t>
            </w:r>
          </w:p>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кредитов</w:t>
            </w:r>
          </w:p>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sz w:val="20"/>
                <w:szCs w:val="20"/>
              </w:rPr>
              <w:t xml:space="preserve"> в 2017 году, тыс. руб.</w:t>
            </w:r>
          </w:p>
        </w:tc>
        <w:tc>
          <w:tcPr>
            <w:tcW w:w="1293" w:type="dxa"/>
            <w:vMerge w:val="restart"/>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Выдано бюджетных кредитов в 2017 году, тыс. руб.</w:t>
            </w:r>
          </w:p>
        </w:tc>
        <w:tc>
          <w:tcPr>
            <w:tcW w:w="1985" w:type="dxa"/>
            <w:gridSpan w:val="2"/>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Остаток задолженности  на 01.01.2018 (основной долг)</w:t>
            </w:r>
          </w:p>
          <w:p w:rsidR="009C45F8" w:rsidRPr="00040C9B" w:rsidRDefault="009C45F8" w:rsidP="009C45F8">
            <w:pPr>
              <w:spacing w:after="0" w:line="240" w:lineRule="auto"/>
              <w:jc w:val="center"/>
              <w:rPr>
                <w:rFonts w:ascii="Times New Roman" w:hAnsi="Times New Roman" w:cs="Times New Roman"/>
                <w:b/>
                <w:sz w:val="20"/>
                <w:szCs w:val="20"/>
              </w:rPr>
            </w:pPr>
          </w:p>
        </w:tc>
      </w:tr>
      <w:tr w:rsidR="009C45F8" w:rsidTr="009C45F8">
        <w:trPr>
          <w:trHeight w:val="77"/>
          <w:tblHeader/>
        </w:trPr>
        <w:tc>
          <w:tcPr>
            <w:tcW w:w="2660" w:type="dxa"/>
            <w:vMerge/>
          </w:tcPr>
          <w:p w:rsidR="009C45F8" w:rsidRPr="00040C9B" w:rsidRDefault="009C45F8" w:rsidP="009C45F8">
            <w:pPr>
              <w:spacing w:after="0" w:line="240" w:lineRule="auto"/>
              <w:jc w:val="center"/>
              <w:rPr>
                <w:rFonts w:ascii="Times New Roman" w:hAnsi="Times New Roman" w:cs="Times New Roman"/>
                <w:b/>
                <w:sz w:val="20"/>
                <w:szCs w:val="20"/>
              </w:rPr>
            </w:pPr>
          </w:p>
        </w:tc>
        <w:tc>
          <w:tcPr>
            <w:tcW w:w="1296"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sz w:val="20"/>
                <w:szCs w:val="20"/>
              </w:rPr>
              <w:t>тыс. руб.</w:t>
            </w:r>
          </w:p>
        </w:tc>
        <w:tc>
          <w:tcPr>
            <w:tcW w:w="972"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sz w:val="20"/>
                <w:szCs w:val="20"/>
              </w:rPr>
              <w:t>в % к итогу</w:t>
            </w:r>
          </w:p>
        </w:tc>
        <w:tc>
          <w:tcPr>
            <w:tcW w:w="1400" w:type="dxa"/>
            <w:vMerge/>
          </w:tcPr>
          <w:p w:rsidR="009C45F8" w:rsidRPr="00040C9B" w:rsidRDefault="009C45F8" w:rsidP="009C45F8">
            <w:pPr>
              <w:spacing w:after="0" w:line="240" w:lineRule="auto"/>
              <w:jc w:val="center"/>
              <w:rPr>
                <w:rFonts w:ascii="Times New Roman" w:hAnsi="Times New Roman" w:cs="Times New Roman"/>
                <w:b/>
                <w:sz w:val="20"/>
                <w:szCs w:val="20"/>
              </w:rPr>
            </w:pPr>
          </w:p>
        </w:tc>
        <w:tc>
          <w:tcPr>
            <w:tcW w:w="1293" w:type="dxa"/>
            <w:vMerge/>
          </w:tcPr>
          <w:p w:rsidR="009C45F8" w:rsidRPr="00040C9B" w:rsidRDefault="009C45F8" w:rsidP="009C45F8">
            <w:pPr>
              <w:spacing w:after="0" w:line="240" w:lineRule="auto"/>
              <w:jc w:val="center"/>
              <w:rPr>
                <w:rFonts w:ascii="Times New Roman" w:hAnsi="Times New Roman" w:cs="Times New Roman"/>
                <w:sz w:val="20"/>
                <w:szCs w:val="20"/>
              </w:rPr>
            </w:pPr>
          </w:p>
        </w:tc>
        <w:tc>
          <w:tcPr>
            <w:tcW w:w="1134" w:type="dxa"/>
            <w:vAlign w:val="center"/>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тыс. руб.</w:t>
            </w:r>
          </w:p>
        </w:tc>
        <w:tc>
          <w:tcPr>
            <w:tcW w:w="851"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sz w:val="20"/>
                <w:szCs w:val="20"/>
              </w:rPr>
              <w:t>в % к итогу</w:t>
            </w:r>
          </w:p>
        </w:tc>
      </w:tr>
      <w:tr w:rsidR="009C45F8" w:rsidRPr="00E33908" w:rsidTr="009C45F8">
        <w:trPr>
          <w:trHeight w:val="77"/>
          <w:tblHeader/>
        </w:trPr>
        <w:tc>
          <w:tcPr>
            <w:tcW w:w="2660"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1</w:t>
            </w:r>
          </w:p>
        </w:tc>
        <w:tc>
          <w:tcPr>
            <w:tcW w:w="1296"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2</w:t>
            </w:r>
          </w:p>
        </w:tc>
        <w:tc>
          <w:tcPr>
            <w:tcW w:w="972"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3</w:t>
            </w:r>
          </w:p>
        </w:tc>
        <w:tc>
          <w:tcPr>
            <w:tcW w:w="1400"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4</w:t>
            </w:r>
          </w:p>
        </w:tc>
        <w:tc>
          <w:tcPr>
            <w:tcW w:w="1293"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5</w:t>
            </w:r>
          </w:p>
        </w:tc>
        <w:tc>
          <w:tcPr>
            <w:tcW w:w="1134"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6</w:t>
            </w:r>
          </w:p>
        </w:tc>
        <w:tc>
          <w:tcPr>
            <w:tcW w:w="851"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7</w:t>
            </w:r>
          </w:p>
        </w:tc>
      </w:tr>
      <w:tr w:rsidR="009C45F8" w:rsidRPr="00E33908" w:rsidTr="009C45F8">
        <w:trPr>
          <w:trHeight w:val="179"/>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 г. Благовещенск</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41463,0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17,5</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20731,5</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20731,5</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13,3</w:t>
            </w:r>
          </w:p>
        </w:tc>
      </w:tr>
      <w:tr w:rsidR="009C45F8" w:rsidRPr="00E33908" w:rsidTr="009C45F8">
        <w:trPr>
          <w:trHeight w:val="176"/>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 г. Белогорск</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11321,0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4,8</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4843,0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6478,0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4,2</w:t>
            </w:r>
          </w:p>
        </w:tc>
      </w:tr>
      <w:tr w:rsidR="009C45F8" w:rsidRPr="00E33908" w:rsidTr="009C45F8">
        <w:trPr>
          <w:trHeight w:val="161"/>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3. г. Зея</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5904,0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2,5</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2952,0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2952,0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1,9</w:t>
            </w:r>
          </w:p>
        </w:tc>
      </w:tr>
      <w:tr w:rsidR="009C45F8" w:rsidRPr="00E33908" w:rsidTr="009C45F8">
        <w:trPr>
          <w:trHeight w:val="175"/>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4. г. Райчихинск</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14"/>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5. г. Свободный</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114363,2</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48,2</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34465,5</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79897,7</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51,3</w:t>
            </w:r>
          </w:p>
        </w:tc>
      </w:tr>
      <w:tr w:rsidR="009C45F8" w:rsidRPr="00E33908" w:rsidTr="009C45F8">
        <w:trPr>
          <w:trHeight w:val="113"/>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6. г. Тында</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97"/>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7. г. Шимановск</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1981,0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0,8</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990,5</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990,5</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0,6</w:t>
            </w:r>
          </w:p>
        </w:tc>
      </w:tr>
      <w:tr w:rsidR="009C45F8" w:rsidTr="009C45F8">
        <w:trPr>
          <w:trHeight w:val="170"/>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8. рп (пгт) Прогресс</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Tr="009C45F8">
        <w:trPr>
          <w:trHeight w:val="170"/>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9. ЗАТО Циолковский</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70"/>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10. Архаринский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90"/>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11. Белогорский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2668,0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1,1</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2668,0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1,7</w:t>
            </w:r>
          </w:p>
        </w:tc>
      </w:tr>
      <w:tr w:rsidR="009C45F8" w:rsidRPr="00E33908" w:rsidTr="009C45F8">
        <w:trPr>
          <w:trHeight w:val="164"/>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12. Благовещенский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15222,3</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6,4</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3276,0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11946,3</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7,7</w:t>
            </w:r>
          </w:p>
        </w:tc>
      </w:tr>
      <w:tr w:rsidR="009C45F8" w:rsidRPr="00E33908" w:rsidTr="009C45F8">
        <w:trPr>
          <w:trHeight w:val="175"/>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13. Бурейский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87"/>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14. Завитинский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53"/>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15. Зейский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3669,0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1,5</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3669,0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2,4</w:t>
            </w:r>
          </w:p>
        </w:tc>
      </w:tr>
      <w:tr w:rsidR="009C45F8" w:rsidRPr="00E33908" w:rsidTr="009C45F8">
        <w:trPr>
          <w:trHeight w:val="137"/>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16. Ивановский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12619,0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5,3</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4929,0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7690,0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4,9</w:t>
            </w:r>
          </w:p>
        </w:tc>
      </w:tr>
      <w:tr w:rsidR="009C45F8" w:rsidRPr="00E33908" w:rsidTr="009C45F8">
        <w:trPr>
          <w:trHeight w:val="199"/>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17. Константиновский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07"/>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18. Магдагачинский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13046,0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5,5</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5004,0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8042,0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5,2</w:t>
            </w:r>
          </w:p>
        </w:tc>
      </w:tr>
      <w:tr w:rsidR="009C45F8" w:rsidRPr="00E33908" w:rsidTr="009C45F8">
        <w:trPr>
          <w:trHeight w:val="163"/>
        </w:trPr>
        <w:tc>
          <w:tcPr>
            <w:tcW w:w="2660" w:type="dxa"/>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19. Мазановский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5312,0</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2,2</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1034,0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4278,0</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2,7</w:t>
            </w:r>
          </w:p>
        </w:tc>
      </w:tr>
      <w:tr w:rsidR="009C45F8" w:rsidRPr="00E33908" w:rsidTr="009C45F8">
        <w:trPr>
          <w:trHeight w:val="163"/>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20.Михайловский р-н</w:t>
            </w:r>
          </w:p>
        </w:tc>
        <w:tc>
          <w:tcPr>
            <w:tcW w:w="1296"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5601,0</w:t>
            </w:r>
          </w:p>
        </w:tc>
        <w:tc>
          <w:tcPr>
            <w:tcW w:w="972"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2,4</w:t>
            </w:r>
          </w:p>
        </w:tc>
        <w:tc>
          <w:tcPr>
            <w:tcW w:w="1400"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864,0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4737,0</w:t>
            </w:r>
          </w:p>
        </w:tc>
        <w:tc>
          <w:tcPr>
            <w:tcW w:w="851"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3,0</w:t>
            </w:r>
          </w:p>
        </w:tc>
      </w:tr>
      <w:tr w:rsidR="009C45F8" w:rsidRPr="00E33908" w:rsidTr="009C45F8">
        <w:trPr>
          <w:trHeight w:val="163"/>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21. Октябрьский р-н</w:t>
            </w:r>
          </w:p>
        </w:tc>
        <w:tc>
          <w:tcPr>
            <w:tcW w:w="1296"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795,0</w:t>
            </w:r>
          </w:p>
        </w:tc>
        <w:tc>
          <w:tcPr>
            <w:tcW w:w="972"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0,3</w:t>
            </w:r>
          </w:p>
        </w:tc>
        <w:tc>
          <w:tcPr>
            <w:tcW w:w="1400"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795,0</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0</w:t>
            </w:r>
          </w:p>
        </w:tc>
        <w:tc>
          <w:tcPr>
            <w:tcW w:w="851"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63"/>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22. Ромненский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63"/>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23. Свободненский р-н</w:t>
            </w:r>
          </w:p>
        </w:tc>
        <w:tc>
          <w:tcPr>
            <w:tcW w:w="1296"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63"/>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24. Серышевский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63"/>
        </w:trPr>
        <w:tc>
          <w:tcPr>
            <w:tcW w:w="2660" w:type="dxa"/>
            <w:vAlign w:val="center"/>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25. Селемджинский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63"/>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26. Сковородинский р-н</w:t>
            </w:r>
          </w:p>
        </w:tc>
        <w:tc>
          <w:tcPr>
            <w:tcW w:w="1296"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261"/>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27. Тамбовский р-н</w:t>
            </w:r>
          </w:p>
        </w:tc>
        <w:tc>
          <w:tcPr>
            <w:tcW w:w="1296"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3474,8</w:t>
            </w:r>
          </w:p>
        </w:tc>
        <w:tc>
          <w:tcPr>
            <w:tcW w:w="972"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1,5</w:t>
            </w:r>
          </w:p>
        </w:tc>
        <w:tc>
          <w:tcPr>
            <w:tcW w:w="1400"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1737,6</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1737,2</w:t>
            </w:r>
          </w:p>
        </w:tc>
        <w:tc>
          <w:tcPr>
            <w:tcW w:w="851"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1,1</w:t>
            </w:r>
          </w:p>
        </w:tc>
      </w:tr>
      <w:tr w:rsidR="009C45F8" w:rsidRPr="00E33908" w:rsidTr="009C45F8">
        <w:trPr>
          <w:trHeight w:val="261"/>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28.Тындинский р-н</w:t>
            </w:r>
          </w:p>
        </w:tc>
        <w:tc>
          <w:tcPr>
            <w:tcW w:w="1296"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vAlign w:val="bottom"/>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271"/>
        </w:trPr>
        <w:tc>
          <w:tcPr>
            <w:tcW w:w="2660" w:type="dxa"/>
            <w:vAlign w:val="bottom"/>
          </w:tcPr>
          <w:p w:rsidR="009C45F8" w:rsidRPr="00040C9B" w:rsidRDefault="009C45F8" w:rsidP="009C45F8">
            <w:pPr>
              <w:spacing w:after="0" w:line="240" w:lineRule="auto"/>
              <w:rPr>
                <w:rFonts w:ascii="Times New Roman" w:hAnsi="Times New Roman" w:cs="Times New Roman"/>
                <w:sz w:val="20"/>
                <w:szCs w:val="20"/>
              </w:rPr>
            </w:pPr>
            <w:r w:rsidRPr="00040C9B">
              <w:rPr>
                <w:rFonts w:ascii="Times New Roman" w:hAnsi="Times New Roman" w:cs="Times New Roman"/>
                <w:sz w:val="20"/>
                <w:szCs w:val="20"/>
              </w:rPr>
              <w:t>29. Шимановский  р-н</w:t>
            </w:r>
          </w:p>
        </w:tc>
        <w:tc>
          <w:tcPr>
            <w:tcW w:w="1296"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972"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400"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293"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1134"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c>
          <w:tcPr>
            <w:tcW w:w="851" w:type="dxa"/>
          </w:tcPr>
          <w:p w:rsidR="009C45F8" w:rsidRPr="00040C9B" w:rsidRDefault="009C45F8" w:rsidP="009C45F8">
            <w:pPr>
              <w:spacing w:after="0" w:line="240" w:lineRule="auto"/>
              <w:jc w:val="center"/>
              <w:rPr>
                <w:rFonts w:ascii="Times New Roman" w:hAnsi="Times New Roman" w:cs="Times New Roman"/>
                <w:sz w:val="20"/>
                <w:szCs w:val="20"/>
              </w:rPr>
            </w:pPr>
            <w:r w:rsidRPr="00040C9B">
              <w:rPr>
                <w:rFonts w:ascii="Times New Roman" w:hAnsi="Times New Roman" w:cs="Times New Roman"/>
                <w:sz w:val="20"/>
                <w:szCs w:val="20"/>
              </w:rPr>
              <w:t>-</w:t>
            </w:r>
          </w:p>
        </w:tc>
      </w:tr>
      <w:tr w:rsidR="009C45F8" w:rsidRPr="00E33908" w:rsidTr="009C45F8">
        <w:trPr>
          <w:trHeight w:val="163"/>
        </w:trPr>
        <w:tc>
          <w:tcPr>
            <w:tcW w:w="2660" w:type="dxa"/>
            <w:vAlign w:val="center"/>
          </w:tcPr>
          <w:p w:rsidR="009C45F8" w:rsidRPr="00040C9B" w:rsidRDefault="009C45F8" w:rsidP="009C45F8">
            <w:pPr>
              <w:spacing w:after="0" w:line="240" w:lineRule="auto"/>
              <w:jc w:val="both"/>
              <w:rPr>
                <w:rFonts w:ascii="Times New Roman" w:hAnsi="Times New Roman" w:cs="Times New Roman"/>
                <w:b/>
                <w:sz w:val="20"/>
                <w:szCs w:val="20"/>
              </w:rPr>
            </w:pPr>
            <w:r w:rsidRPr="00040C9B">
              <w:rPr>
                <w:rFonts w:ascii="Times New Roman" w:hAnsi="Times New Roman" w:cs="Times New Roman"/>
                <w:b/>
                <w:sz w:val="20"/>
                <w:szCs w:val="20"/>
              </w:rPr>
              <w:t>Итого</w:t>
            </w:r>
          </w:p>
        </w:tc>
        <w:tc>
          <w:tcPr>
            <w:tcW w:w="1296" w:type="dxa"/>
            <w:vAlign w:val="center"/>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237439,3</w:t>
            </w:r>
          </w:p>
        </w:tc>
        <w:tc>
          <w:tcPr>
            <w:tcW w:w="972" w:type="dxa"/>
            <w:vAlign w:val="center"/>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100,0</w:t>
            </w:r>
          </w:p>
        </w:tc>
        <w:tc>
          <w:tcPr>
            <w:tcW w:w="1400" w:type="dxa"/>
            <w:vAlign w:val="center"/>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81622,1</w:t>
            </w:r>
          </w:p>
        </w:tc>
        <w:tc>
          <w:tcPr>
            <w:tcW w:w="1293" w:type="dxa"/>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w:t>
            </w:r>
          </w:p>
        </w:tc>
        <w:tc>
          <w:tcPr>
            <w:tcW w:w="1134" w:type="dxa"/>
            <w:vAlign w:val="center"/>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155817,2</w:t>
            </w:r>
          </w:p>
        </w:tc>
        <w:tc>
          <w:tcPr>
            <w:tcW w:w="851" w:type="dxa"/>
            <w:vAlign w:val="center"/>
          </w:tcPr>
          <w:p w:rsidR="009C45F8" w:rsidRPr="00040C9B" w:rsidRDefault="009C45F8" w:rsidP="009C45F8">
            <w:pPr>
              <w:spacing w:after="0" w:line="240" w:lineRule="auto"/>
              <w:jc w:val="center"/>
              <w:rPr>
                <w:rFonts w:ascii="Times New Roman" w:hAnsi="Times New Roman" w:cs="Times New Roman"/>
                <w:b/>
                <w:sz w:val="20"/>
                <w:szCs w:val="20"/>
              </w:rPr>
            </w:pPr>
            <w:r w:rsidRPr="00040C9B">
              <w:rPr>
                <w:rFonts w:ascii="Times New Roman" w:hAnsi="Times New Roman" w:cs="Times New Roman"/>
                <w:b/>
                <w:sz w:val="20"/>
                <w:szCs w:val="20"/>
              </w:rPr>
              <w:t>100,0</w:t>
            </w:r>
          </w:p>
        </w:tc>
      </w:tr>
    </w:tbl>
    <w:p w:rsidR="009C45F8" w:rsidRPr="0048365C" w:rsidRDefault="009C45F8" w:rsidP="004C3485">
      <w:pPr>
        <w:tabs>
          <w:tab w:val="left" w:pos="700"/>
        </w:tabs>
        <w:spacing w:after="0" w:line="240" w:lineRule="auto"/>
        <w:jc w:val="both"/>
        <w:outlineLvl w:val="0"/>
        <w:rPr>
          <w:rFonts w:ascii="Times New Roman" w:hAnsi="Times New Roman" w:cs="Times New Roman"/>
          <w:spacing w:val="-7"/>
          <w:sz w:val="24"/>
          <w:szCs w:val="24"/>
        </w:rPr>
      </w:pPr>
      <w:r w:rsidRPr="0048365C">
        <w:rPr>
          <w:rFonts w:ascii="Times New Roman" w:hAnsi="Times New Roman" w:cs="Times New Roman"/>
          <w:sz w:val="24"/>
          <w:szCs w:val="24"/>
        </w:rPr>
        <w:tab/>
      </w:r>
    </w:p>
    <w:p w:rsidR="004C3485" w:rsidRDefault="004C3485" w:rsidP="004C3485">
      <w:pPr>
        <w:shd w:val="clear" w:color="auto" w:fill="FFFFFF"/>
        <w:spacing w:after="0" w:line="295" w:lineRule="auto"/>
        <w:ind w:firstLine="709"/>
        <w:jc w:val="both"/>
        <w:rPr>
          <w:rFonts w:ascii="Times New Roman" w:hAnsi="Times New Roman" w:cs="Times New Roman"/>
          <w:spacing w:val="-4"/>
          <w:sz w:val="24"/>
          <w:szCs w:val="24"/>
        </w:rPr>
      </w:pPr>
    </w:p>
    <w:p w:rsidR="009C45F8" w:rsidRDefault="009C45F8" w:rsidP="004C3485">
      <w:pPr>
        <w:shd w:val="clear" w:color="auto" w:fill="FFFFFF"/>
        <w:spacing w:after="0" w:line="295" w:lineRule="auto"/>
        <w:ind w:firstLine="709"/>
        <w:jc w:val="both"/>
        <w:rPr>
          <w:rFonts w:ascii="Times New Roman" w:hAnsi="Times New Roman" w:cs="Times New Roman"/>
          <w:spacing w:val="-4"/>
          <w:sz w:val="24"/>
          <w:szCs w:val="24"/>
        </w:rPr>
      </w:pPr>
      <w:r w:rsidRPr="0013553F">
        <w:rPr>
          <w:rFonts w:ascii="Times New Roman" w:hAnsi="Times New Roman" w:cs="Times New Roman"/>
          <w:spacing w:val="-4"/>
          <w:sz w:val="24"/>
          <w:szCs w:val="24"/>
        </w:rPr>
        <w:t>Основную долю задолженности в общей сумме составляет задолженность бюджетов городских округов Свободный – 51,3 процента,  Благовещенск – 13,3 процента, муниципального района Благовещенский район – 7,7 процента. Муниципальным образованием Октябрьский район задолженность по бюджетным кредитам перед областным бюджетом в 2017</w:t>
      </w:r>
      <w:r w:rsidR="004C3485">
        <w:rPr>
          <w:rFonts w:ascii="Times New Roman" w:hAnsi="Times New Roman" w:cs="Times New Roman"/>
          <w:spacing w:val="-4"/>
          <w:sz w:val="24"/>
          <w:szCs w:val="24"/>
        </w:rPr>
        <w:t xml:space="preserve"> году погашена в полном объеме.</w:t>
      </w:r>
    </w:p>
    <w:p w:rsidR="009C45F8" w:rsidRPr="006515A3" w:rsidRDefault="009C45F8" w:rsidP="004C3485">
      <w:pPr>
        <w:spacing w:after="0" w:line="295" w:lineRule="auto"/>
        <w:ind w:firstLine="709"/>
        <w:jc w:val="both"/>
        <w:rPr>
          <w:rFonts w:ascii="Times New Roman" w:hAnsi="Times New Roman" w:cs="Times New Roman"/>
          <w:spacing w:val="-4"/>
          <w:sz w:val="24"/>
          <w:szCs w:val="24"/>
        </w:rPr>
      </w:pPr>
      <w:r w:rsidRPr="001A299F">
        <w:rPr>
          <w:rFonts w:ascii="Times New Roman" w:hAnsi="Times New Roman" w:cs="Times New Roman"/>
          <w:spacing w:val="-4"/>
          <w:sz w:val="24"/>
          <w:szCs w:val="24"/>
        </w:rPr>
        <w:t xml:space="preserve">Структура задолженности бюджетов муниципальных образований области </w:t>
      </w:r>
      <w:r w:rsidRPr="00580719">
        <w:rPr>
          <w:rFonts w:ascii="Times New Roman" w:hAnsi="Times New Roman" w:cs="Times New Roman"/>
          <w:spacing w:val="-4"/>
          <w:sz w:val="24"/>
          <w:szCs w:val="24"/>
        </w:rPr>
        <w:t xml:space="preserve">перед областным бюджетом в разрезе муниципальных образований области </w:t>
      </w:r>
      <w:r w:rsidR="00273AB9">
        <w:rPr>
          <w:rFonts w:ascii="Times New Roman" w:hAnsi="Times New Roman" w:cs="Times New Roman"/>
          <w:spacing w:val="-4"/>
          <w:sz w:val="24"/>
          <w:szCs w:val="24"/>
        </w:rPr>
        <w:t xml:space="preserve">по состоянию на 01.01.2018 </w:t>
      </w:r>
      <w:r w:rsidRPr="00580719">
        <w:rPr>
          <w:rFonts w:ascii="Times New Roman" w:hAnsi="Times New Roman" w:cs="Times New Roman"/>
          <w:spacing w:val="-4"/>
          <w:sz w:val="24"/>
          <w:szCs w:val="24"/>
        </w:rPr>
        <w:t xml:space="preserve">представлена </w:t>
      </w:r>
      <w:r w:rsidRPr="006515A3">
        <w:rPr>
          <w:rFonts w:ascii="Times New Roman" w:hAnsi="Times New Roman" w:cs="Times New Roman"/>
          <w:spacing w:val="-4"/>
          <w:sz w:val="24"/>
          <w:szCs w:val="24"/>
        </w:rPr>
        <w:t>на рисунке 3</w:t>
      </w:r>
      <w:r w:rsidR="006515A3" w:rsidRPr="006515A3">
        <w:rPr>
          <w:rFonts w:ascii="Times New Roman" w:hAnsi="Times New Roman" w:cs="Times New Roman"/>
          <w:spacing w:val="-4"/>
          <w:sz w:val="24"/>
          <w:szCs w:val="24"/>
        </w:rPr>
        <w:t>7</w:t>
      </w:r>
      <w:r w:rsidRPr="006515A3">
        <w:rPr>
          <w:rFonts w:ascii="Times New Roman" w:hAnsi="Times New Roman" w:cs="Times New Roman"/>
          <w:spacing w:val="-4"/>
          <w:sz w:val="24"/>
          <w:szCs w:val="24"/>
        </w:rPr>
        <w:t>.</w:t>
      </w:r>
    </w:p>
    <w:p w:rsidR="009C45F8" w:rsidRPr="006F620B" w:rsidRDefault="009C45F8" w:rsidP="009C45F8">
      <w:pPr>
        <w:spacing w:after="0" w:line="240" w:lineRule="auto"/>
        <w:jc w:val="both"/>
        <w:rPr>
          <w:rFonts w:ascii="Times New Roman" w:hAnsi="Times New Roman" w:cs="Times New Roman"/>
          <w:sz w:val="24"/>
          <w:szCs w:val="24"/>
        </w:rPr>
      </w:pPr>
      <w:r w:rsidRPr="001A299F">
        <w:rPr>
          <w:rFonts w:ascii="Times New Roman" w:eastAsia="Times New Roman" w:hAnsi="Times New Roman" w:cs="Times New Roman"/>
          <w:noProof/>
          <w:sz w:val="24"/>
          <w:szCs w:val="24"/>
          <w:lang w:eastAsia="ru-RU"/>
        </w:rPr>
        <w:lastRenderedPageBreak/>
        <w:drawing>
          <wp:inline distT="0" distB="0" distL="0" distR="0" wp14:anchorId="3C561475" wp14:editId="4D5BB1E2">
            <wp:extent cx="6191250" cy="2705100"/>
            <wp:effectExtent l="0" t="0" r="0" b="0"/>
            <wp:docPr id="4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C45F8" w:rsidRPr="00580719" w:rsidRDefault="009C45F8" w:rsidP="009C45F8">
      <w:pPr>
        <w:spacing w:after="0" w:line="240" w:lineRule="auto"/>
        <w:ind w:firstLine="708"/>
        <w:jc w:val="both"/>
        <w:rPr>
          <w:rFonts w:ascii="Times New Roman" w:hAnsi="Times New Roman" w:cs="Times New Roman"/>
          <w:sz w:val="24"/>
          <w:szCs w:val="24"/>
        </w:rPr>
      </w:pPr>
    </w:p>
    <w:p w:rsidR="009C45F8" w:rsidRPr="00273AB9" w:rsidRDefault="009C45F8" w:rsidP="009C45F8">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6515A3">
        <w:rPr>
          <w:rFonts w:ascii="Times New Roman" w:eastAsia="Times New Roman" w:hAnsi="Times New Roman" w:cs="Times New Roman"/>
          <w:b/>
          <w:sz w:val="24"/>
          <w:szCs w:val="24"/>
          <w:lang w:eastAsia="ru-RU"/>
        </w:rPr>
        <w:t>Рис. 3</w:t>
      </w:r>
      <w:r w:rsidR="006515A3" w:rsidRPr="006515A3">
        <w:rPr>
          <w:rFonts w:ascii="Times New Roman" w:eastAsia="Times New Roman" w:hAnsi="Times New Roman" w:cs="Times New Roman"/>
          <w:b/>
          <w:sz w:val="24"/>
          <w:szCs w:val="24"/>
          <w:lang w:eastAsia="ru-RU"/>
        </w:rPr>
        <w:t>7</w:t>
      </w:r>
      <w:r w:rsidRPr="006515A3">
        <w:rPr>
          <w:rFonts w:ascii="Times New Roman" w:eastAsia="Times New Roman" w:hAnsi="Times New Roman" w:cs="Times New Roman"/>
          <w:b/>
          <w:sz w:val="24"/>
          <w:szCs w:val="24"/>
          <w:lang w:eastAsia="ru-RU"/>
        </w:rPr>
        <w:t xml:space="preserve"> </w:t>
      </w:r>
      <w:r w:rsidRPr="00CE2194">
        <w:rPr>
          <w:rFonts w:ascii="Times New Roman" w:eastAsia="Times New Roman" w:hAnsi="Times New Roman" w:cs="Times New Roman"/>
          <w:b/>
          <w:sz w:val="24"/>
          <w:szCs w:val="24"/>
          <w:lang w:eastAsia="ru-RU"/>
        </w:rPr>
        <w:t xml:space="preserve">- </w:t>
      </w:r>
      <w:r w:rsidRPr="001A299F">
        <w:rPr>
          <w:rFonts w:ascii="Times New Roman" w:eastAsia="Times New Roman" w:hAnsi="Times New Roman" w:cs="Times New Roman"/>
          <w:b/>
          <w:sz w:val="24"/>
          <w:szCs w:val="24"/>
          <w:lang w:eastAsia="ru-RU"/>
        </w:rPr>
        <w:t>Структура</w:t>
      </w:r>
      <w:r w:rsidRPr="001A299F">
        <w:rPr>
          <w:rFonts w:ascii="Times New Roman" w:hAnsi="Times New Roman" w:cs="Times New Roman"/>
          <w:spacing w:val="-4"/>
          <w:sz w:val="24"/>
          <w:szCs w:val="24"/>
        </w:rPr>
        <w:t xml:space="preserve"> </w:t>
      </w:r>
      <w:r w:rsidRPr="001A299F">
        <w:rPr>
          <w:rFonts w:ascii="Times New Roman" w:hAnsi="Times New Roman" w:cs="Times New Roman"/>
          <w:b/>
          <w:spacing w:val="-4"/>
          <w:sz w:val="24"/>
          <w:szCs w:val="24"/>
        </w:rPr>
        <w:t xml:space="preserve">задолженности бюджетов муниципальных образований области перед областным бюджетом в разрезе муниципальных образований области </w:t>
      </w:r>
      <w:r w:rsidR="00273AB9" w:rsidRPr="00273AB9">
        <w:rPr>
          <w:rFonts w:ascii="Times New Roman" w:hAnsi="Times New Roman" w:cs="Times New Roman"/>
          <w:b/>
          <w:spacing w:val="-4"/>
          <w:sz w:val="24"/>
          <w:szCs w:val="24"/>
        </w:rPr>
        <w:t>по состоянию на 01.01.2018</w:t>
      </w:r>
      <w:r w:rsidRPr="00273AB9">
        <w:rPr>
          <w:rFonts w:ascii="Times New Roman" w:eastAsia="Times New Roman" w:hAnsi="Times New Roman" w:cs="Times New Roman"/>
          <w:b/>
          <w:sz w:val="24"/>
          <w:szCs w:val="24"/>
          <w:lang w:eastAsia="ru-RU"/>
        </w:rPr>
        <w:t>, в процентах</w:t>
      </w:r>
    </w:p>
    <w:p w:rsidR="00273AB9" w:rsidRDefault="00273AB9" w:rsidP="00776B35">
      <w:pPr>
        <w:keepNext/>
        <w:spacing w:after="0" w:line="240" w:lineRule="auto"/>
        <w:ind w:firstLine="709"/>
        <w:jc w:val="center"/>
        <w:outlineLvl w:val="0"/>
        <w:rPr>
          <w:rFonts w:ascii="Times New Roman" w:hAnsi="Times New Roman" w:cs="Times New Roman"/>
          <w:b/>
          <w:sz w:val="24"/>
          <w:szCs w:val="24"/>
        </w:rPr>
      </w:pPr>
    </w:p>
    <w:p w:rsidR="00776B35" w:rsidRDefault="00776B35" w:rsidP="00B269A3">
      <w:pPr>
        <w:keepNext/>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8</w:t>
      </w:r>
      <w:r w:rsidR="00B269A3">
        <w:rPr>
          <w:rFonts w:ascii="Times New Roman" w:hAnsi="Times New Roman" w:cs="Times New Roman"/>
          <w:b/>
          <w:sz w:val="24"/>
          <w:szCs w:val="24"/>
        </w:rPr>
        <w:t>.</w:t>
      </w:r>
      <w:r>
        <w:rPr>
          <w:rFonts w:ascii="Times New Roman" w:hAnsi="Times New Roman" w:cs="Times New Roman"/>
          <w:b/>
          <w:sz w:val="24"/>
          <w:szCs w:val="24"/>
        </w:rPr>
        <w:t xml:space="preserve"> Анализ расчетов по кредитам, предоставленным предприятиям и организациям из областно</w:t>
      </w:r>
      <w:r w:rsidR="004C3485">
        <w:rPr>
          <w:rFonts w:ascii="Times New Roman" w:hAnsi="Times New Roman" w:cs="Times New Roman"/>
          <w:b/>
          <w:sz w:val="24"/>
          <w:szCs w:val="24"/>
        </w:rPr>
        <w:t>го бюджета на возвратной основе</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2017 году предоставление кредитов из областного бюджета предприятиям и организациям не предусм</w:t>
      </w:r>
      <w:r w:rsidR="00FE286F">
        <w:rPr>
          <w:rFonts w:ascii="Times New Roman" w:hAnsi="Times New Roman" w:cs="Times New Roman"/>
          <w:sz w:val="24"/>
          <w:szCs w:val="24"/>
        </w:rPr>
        <w:t>а</w:t>
      </w:r>
      <w:r w:rsidR="00F71627">
        <w:rPr>
          <w:rFonts w:ascii="Times New Roman" w:hAnsi="Times New Roman" w:cs="Times New Roman"/>
          <w:sz w:val="24"/>
          <w:szCs w:val="24"/>
        </w:rPr>
        <w:t>тр</w:t>
      </w:r>
      <w:r>
        <w:rPr>
          <w:rFonts w:ascii="Times New Roman" w:hAnsi="Times New Roman" w:cs="Times New Roman"/>
          <w:sz w:val="24"/>
          <w:szCs w:val="24"/>
        </w:rPr>
        <w:t>ивалось и не производилось.</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w:t>
      </w:r>
      <w:r w:rsidR="00273AB9">
        <w:rPr>
          <w:rFonts w:ascii="Times New Roman" w:hAnsi="Times New Roman" w:cs="Times New Roman"/>
          <w:sz w:val="24"/>
          <w:szCs w:val="24"/>
        </w:rPr>
        <w:t xml:space="preserve">ГУП Амурской области «Агро» по предоставленным бюджетным кредитам </w:t>
      </w:r>
      <w:r>
        <w:rPr>
          <w:rFonts w:ascii="Times New Roman" w:hAnsi="Times New Roman" w:cs="Times New Roman"/>
          <w:sz w:val="24"/>
          <w:szCs w:val="24"/>
        </w:rPr>
        <w:t>перед областным бюджетом по состоянию на 01.01.2018 года составляет 749645,4 тыс. рублей</w:t>
      </w:r>
      <w:r w:rsidR="00273AB9">
        <w:rPr>
          <w:rFonts w:ascii="Times New Roman" w:hAnsi="Times New Roman" w:cs="Times New Roman"/>
          <w:sz w:val="24"/>
          <w:szCs w:val="24"/>
        </w:rPr>
        <w:t xml:space="preserve"> </w:t>
      </w:r>
      <w:r w:rsidR="00F71627">
        <w:rPr>
          <w:rFonts w:ascii="Times New Roman" w:hAnsi="Times New Roman" w:cs="Times New Roman"/>
          <w:sz w:val="24"/>
          <w:szCs w:val="24"/>
        </w:rPr>
        <w:t>(</w:t>
      </w:r>
      <w:r w:rsidR="00273AB9">
        <w:rPr>
          <w:rFonts w:ascii="Times New Roman" w:hAnsi="Times New Roman" w:cs="Times New Roman"/>
          <w:sz w:val="24"/>
          <w:szCs w:val="24"/>
        </w:rPr>
        <w:t>с учетом процентов за пользование кредитом</w:t>
      </w:r>
      <w:r w:rsidR="00F71627">
        <w:rPr>
          <w:rFonts w:ascii="Times New Roman" w:hAnsi="Times New Roman" w:cs="Times New Roman"/>
          <w:sz w:val="24"/>
          <w:szCs w:val="24"/>
        </w:rPr>
        <w:t>, пени за просрочку оплаты)</w:t>
      </w:r>
      <w:r>
        <w:rPr>
          <w:rFonts w:ascii="Times New Roman" w:hAnsi="Times New Roman" w:cs="Times New Roman"/>
          <w:sz w:val="24"/>
          <w:szCs w:val="24"/>
        </w:rPr>
        <w:t>.</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Задолженность предприятия по бюджетным кредитам в соответствии с дополнительным соглашением от 30.12.2015 № 2 к Соглашению от 21.02.2012 о реструктуризации задолженности по бюджетным кредитам, предоставленным из областного бюджета в 2004-2007 годах на оплату закупаемых в централизованном порядке для сельхозтоваропроизводителей области товарно-материальных ресурсов на проведение полевых работ, подлеж</w:t>
      </w:r>
      <w:r w:rsidR="00F71627">
        <w:rPr>
          <w:rFonts w:ascii="Times New Roman" w:hAnsi="Times New Roman" w:cs="Times New Roman"/>
          <w:sz w:val="24"/>
          <w:szCs w:val="24"/>
        </w:rPr>
        <w:t>ала</w:t>
      </w:r>
      <w:r>
        <w:rPr>
          <w:rFonts w:ascii="Times New Roman" w:hAnsi="Times New Roman" w:cs="Times New Roman"/>
          <w:sz w:val="24"/>
          <w:szCs w:val="24"/>
        </w:rPr>
        <w:t xml:space="preserve"> погашению в срок до 31.12.2016 года.</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На 01.01.2017 года задолженность </w:t>
      </w:r>
      <w:r w:rsidRPr="009325C9">
        <w:rPr>
          <w:rFonts w:ascii="Times New Roman" w:hAnsi="Times New Roman" w:cs="Times New Roman"/>
          <w:sz w:val="24"/>
          <w:szCs w:val="24"/>
        </w:rPr>
        <w:t>основного долга</w:t>
      </w:r>
      <w:r>
        <w:rPr>
          <w:rFonts w:ascii="Times New Roman" w:hAnsi="Times New Roman" w:cs="Times New Roman"/>
          <w:sz w:val="24"/>
          <w:szCs w:val="24"/>
        </w:rPr>
        <w:t xml:space="preserve"> составляла 662721,6 тыс. рублей, на 01.01.2018 года задолженность </w:t>
      </w:r>
      <w:r w:rsidRPr="009325C9">
        <w:rPr>
          <w:rFonts w:ascii="Times New Roman" w:hAnsi="Times New Roman" w:cs="Times New Roman"/>
          <w:sz w:val="24"/>
          <w:szCs w:val="24"/>
        </w:rPr>
        <w:t>основного долга</w:t>
      </w:r>
      <w:r>
        <w:rPr>
          <w:rFonts w:ascii="Times New Roman" w:hAnsi="Times New Roman" w:cs="Times New Roman"/>
          <w:sz w:val="24"/>
          <w:szCs w:val="24"/>
        </w:rPr>
        <w:t xml:space="preserve"> составляет 662721,6 тыс. рублей.</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связи с неуплатой в установленный срок платежей согласно графику погашения задолженности, министерством финансов области 29.12.2016 года направлено письмо на имя исполняющего обязанности генерального директора ГУП Амурской области «Агро» о принятии решения о прекращении реструктуризации и применении всех предусмотренных законодательством Российской Федерации мер по принудительному взысканию задолженности с предприятия, а также мер в соответствии со статьей 15.15 Кодекса Российской Федерации об административных нарушениях.</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За 2017 год начислено процентов за пользование бюджетными кредитами в соответствии со статьей 5 договоров о предоставлении бюджетных кредитов в сумме </w:t>
      </w:r>
      <w:r>
        <w:rPr>
          <w:rFonts w:ascii="Times New Roman" w:hAnsi="Times New Roman" w:cs="Times New Roman"/>
          <w:sz w:val="24"/>
          <w:szCs w:val="24"/>
        </w:rPr>
        <w:br/>
        <w:t>13466,6 тыс. рублей, начислено пени на сумму всей непогашенной задолженности, срок погашения которой наступил в соответствии со статьей 6 договоров о предоставлении бюджетных кредитов, в сумме 73457,2 тыс. рублей.</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Правительства Амурской области от 19.01.2017 </w:t>
      </w:r>
      <w:r>
        <w:rPr>
          <w:rFonts w:ascii="Times New Roman" w:hAnsi="Times New Roman" w:cs="Times New Roman"/>
          <w:sz w:val="24"/>
          <w:szCs w:val="24"/>
        </w:rPr>
        <w:br/>
        <w:t>№ 7-р установлен срок ликвидации ГУП Амурской области «Агро» до 29.12.2017 года.</w:t>
      </w:r>
    </w:p>
    <w:p w:rsidR="00776B35" w:rsidRPr="00D4181F" w:rsidRDefault="00D24816"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Ликвидационная </w:t>
      </w:r>
      <w:r w:rsidR="00B2499D">
        <w:rPr>
          <w:rFonts w:ascii="Times New Roman" w:hAnsi="Times New Roman" w:cs="Times New Roman"/>
          <w:sz w:val="24"/>
          <w:szCs w:val="24"/>
        </w:rPr>
        <w:t xml:space="preserve">комиссия </w:t>
      </w:r>
      <w:r w:rsidR="00776B35" w:rsidRPr="00D4181F">
        <w:rPr>
          <w:rFonts w:ascii="Times New Roman" w:hAnsi="Times New Roman" w:cs="Times New Roman"/>
          <w:sz w:val="24"/>
          <w:szCs w:val="24"/>
        </w:rPr>
        <w:t>обратил</w:t>
      </w:r>
      <w:r w:rsidR="00B2499D">
        <w:rPr>
          <w:rFonts w:ascii="Times New Roman" w:hAnsi="Times New Roman" w:cs="Times New Roman"/>
          <w:sz w:val="24"/>
          <w:szCs w:val="24"/>
        </w:rPr>
        <w:t>а</w:t>
      </w:r>
      <w:r w:rsidR="00776B35" w:rsidRPr="00D4181F">
        <w:rPr>
          <w:rFonts w:ascii="Times New Roman" w:hAnsi="Times New Roman" w:cs="Times New Roman"/>
          <w:sz w:val="24"/>
          <w:szCs w:val="24"/>
        </w:rPr>
        <w:t>сь с исковым заявлением в Арбитражный суд Амурской области</w:t>
      </w:r>
      <w:r w:rsidR="00776B35">
        <w:rPr>
          <w:rFonts w:ascii="Times New Roman" w:hAnsi="Times New Roman" w:cs="Times New Roman"/>
          <w:sz w:val="24"/>
          <w:szCs w:val="24"/>
        </w:rPr>
        <w:t xml:space="preserve"> о признании должника несостоятельным (банкротом) 26.12.2017 года</w:t>
      </w:r>
      <w:r w:rsidR="004C3485">
        <w:rPr>
          <w:rFonts w:ascii="Times New Roman" w:hAnsi="Times New Roman" w:cs="Times New Roman"/>
          <w:sz w:val="24"/>
          <w:szCs w:val="24"/>
        </w:rPr>
        <w:t>.</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Решением </w:t>
      </w:r>
      <w:r w:rsidRPr="00D4181F">
        <w:rPr>
          <w:rFonts w:ascii="Times New Roman" w:hAnsi="Times New Roman" w:cs="Times New Roman"/>
          <w:sz w:val="24"/>
          <w:szCs w:val="24"/>
        </w:rPr>
        <w:t>Арбитражн</w:t>
      </w:r>
      <w:r>
        <w:rPr>
          <w:rFonts w:ascii="Times New Roman" w:hAnsi="Times New Roman" w:cs="Times New Roman"/>
          <w:sz w:val="24"/>
          <w:szCs w:val="24"/>
        </w:rPr>
        <w:t>ого</w:t>
      </w:r>
      <w:r w:rsidRPr="00D4181F">
        <w:rPr>
          <w:rFonts w:ascii="Times New Roman" w:hAnsi="Times New Roman" w:cs="Times New Roman"/>
          <w:sz w:val="24"/>
          <w:szCs w:val="24"/>
        </w:rPr>
        <w:t xml:space="preserve"> суд</w:t>
      </w:r>
      <w:r>
        <w:rPr>
          <w:rFonts w:ascii="Times New Roman" w:hAnsi="Times New Roman" w:cs="Times New Roman"/>
          <w:sz w:val="24"/>
          <w:szCs w:val="24"/>
        </w:rPr>
        <w:t>а</w:t>
      </w:r>
      <w:r w:rsidRPr="00D4181F">
        <w:rPr>
          <w:rFonts w:ascii="Times New Roman" w:hAnsi="Times New Roman" w:cs="Times New Roman"/>
          <w:sz w:val="24"/>
          <w:szCs w:val="24"/>
        </w:rPr>
        <w:t xml:space="preserve"> Амурской области</w:t>
      </w:r>
      <w:r>
        <w:rPr>
          <w:rFonts w:ascii="Times New Roman" w:hAnsi="Times New Roman" w:cs="Times New Roman"/>
          <w:sz w:val="24"/>
          <w:szCs w:val="24"/>
        </w:rPr>
        <w:t xml:space="preserve"> от 16.05.2017 по делу </w:t>
      </w:r>
      <w:r>
        <w:rPr>
          <w:rFonts w:ascii="Times New Roman" w:hAnsi="Times New Roman" w:cs="Times New Roman"/>
          <w:sz w:val="24"/>
          <w:szCs w:val="24"/>
        </w:rPr>
        <w:br/>
        <w:t xml:space="preserve">№ А042106/2017 решено взыскать с Предприятия в пользу </w:t>
      </w:r>
      <w:r w:rsidRPr="00D4181F">
        <w:rPr>
          <w:rFonts w:ascii="Times New Roman" w:hAnsi="Times New Roman" w:cs="Times New Roman"/>
          <w:sz w:val="24"/>
          <w:szCs w:val="24"/>
        </w:rPr>
        <w:t>министерства финансов Амурской области</w:t>
      </w:r>
      <w:r>
        <w:rPr>
          <w:rFonts w:ascii="Times New Roman" w:hAnsi="Times New Roman" w:cs="Times New Roman"/>
          <w:sz w:val="24"/>
          <w:szCs w:val="24"/>
        </w:rPr>
        <w:t xml:space="preserve"> задолженность по бюджетному кредиту в размере 662721,6 тыс. рублей, проценты за пользование кредитами за период с 01.01.2017 по 15.05.2017 в размере </w:t>
      </w:r>
      <w:r>
        <w:rPr>
          <w:rFonts w:ascii="Times New Roman" w:hAnsi="Times New Roman" w:cs="Times New Roman"/>
          <w:sz w:val="24"/>
          <w:szCs w:val="24"/>
        </w:rPr>
        <w:br/>
        <w:t>5187,7 тыс. рублей, пени за просрочку оплаты за период с 01.01.2017 по 15.05.2017 в размере 29391,7 тыс. рублей, всего 697301,0 тыс. рублей.</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Решением </w:t>
      </w:r>
      <w:r w:rsidRPr="00D4181F">
        <w:rPr>
          <w:rFonts w:ascii="Times New Roman" w:hAnsi="Times New Roman" w:cs="Times New Roman"/>
          <w:sz w:val="24"/>
          <w:szCs w:val="24"/>
        </w:rPr>
        <w:t>Арбитражн</w:t>
      </w:r>
      <w:r>
        <w:rPr>
          <w:rFonts w:ascii="Times New Roman" w:hAnsi="Times New Roman" w:cs="Times New Roman"/>
          <w:sz w:val="24"/>
          <w:szCs w:val="24"/>
        </w:rPr>
        <w:t>ого</w:t>
      </w:r>
      <w:r w:rsidRPr="00D4181F">
        <w:rPr>
          <w:rFonts w:ascii="Times New Roman" w:hAnsi="Times New Roman" w:cs="Times New Roman"/>
          <w:sz w:val="24"/>
          <w:szCs w:val="24"/>
        </w:rPr>
        <w:t xml:space="preserve"> суд</w:t>
      </w:r>
      <w:r>
        <w:rPr>
          <w:rFonts w:ascii="Times New Roman" w:hAnsi="Times New Roman" w:cs="Times New Roman"/>
          <w:sz w:val="24"/>
          <w:szCs w:val="24"/>
        </w:rPr>
        <w:t>а</w:t>
      </w:r>
      <w:r w:rsidRPr="00D4181F">
        <w:rPr>
          <w:rFonts w:ascii="Times New Roman" w:hAnsi="Times New Roman" w:cs="Times New Roman"/>
          <w:sz w:val="24"/>
          <w:szCs w:val="24"/>
        </w:rPr>
        <w:t xml:space="preserve"> Амурской области</w:t>
      </w:r>
      <w:r>
        <w:rPr>
          <w:rFonts w:ascii="Times New Roman" w:hAnsi="Times New Roman" w:cs="Times New Roman"/>
          <w:sz w:val="24"/>
          <w:szCs w:val="24"/>
        </w:rPr>
        <w:t xml:space="preserve"> от 27.02.2018 по делу </w:t>
      </w:r>
      <w:r>
        <w:rPr>
          <w:rFonts w:ascii="Times New Roman" w:hAnsi="Times New Roman" w:cs="Times New Roman"/>
          <w:sz w:val="24"/>
          <w:szCs w:val="24"/>
        </w:rPr>
        <w:br/>
        <w:t>№ А04-746/2018 ГУП Амурской области «Агро» признано несостоятельным (банкротом), в отношении него открыта процедура, применяемая в деле о банкротстве – конкурсное производство сроком до 28.05.2018 года.</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Определением </w:t>
      </w:r>
      <w:r w:rsidRPr="00D4181F">
        <w:rPr>
          <w:rFonts w:ascii="Times New Roman" w:hAnsi="Times New Roman" w:cs="Times New Roman"/>
          <w:sz w:val="24"/>
          <w:szCs w:val="24"/>
        </w:rPr>
        <w:t>Арбитражн</w:t>
      </w:r>
      <w:r>
        <w:rPr>
          <w:rFonts w:ascii="Times New Roman" w:hAnsi="Times New Roman" w:cs="Times New Roman"/>
          <w:sz w:val="24"/>
          <w:szCs w:val="24"/>
        </w:rPr>
        <w:t>ого</w:t>
      </w:r>
      <w:r w:rsidRPr="00D4181F">
        <w:rPr>
          <w:rFonts w:ascii="Times New Roman" w:hAnsi="Times New Roman" w:cs="Times New Roman"/>
          <w:sz w:val="24"/>
          <w:szCs w:val="24"/>
        </w:rPr>
        <w:t xml:space="preserve"> суд</w:t>
      </w:r>
      <w:r>
        <w:rPr>
          <w:rFonts w:ascii="Times New Roman" w:hAnsi="Times New Roman" w:cs="Times New Roman"/>
          <w:sz w:val="24"/>
          <w:szCs w:val="24"/>
        </w:rPr>
        <w:t>а</w:t>
      </w:r>
      <w:r w:rsidRPr="00D4181F">
        <w:rPr>
          <w:rFonts w:ascii="Times New Roman" w:hAnsi="Times New Roman" w:cs="Times New Roman"/>
          <w:sz w:val="24"/>
          <w:szCs w:val="24"/>
        </w:rPr>
        <w:t xml:space="preserve"> Амурской области</w:t>
      </w:r>
      <w:r>
        <w:rPr>
          <w:rFonts w:ascii="Times New Roman" w:hAnsi="Times New Roman" w:cs="Times New Roman"/>
          <w:sz w:val="24"/>
          <w:szCs w:val="24"/>
        </w:rPr>
        <w:t xml:space="preserve"> от 20.04.2018 по делу </w:t>
      </w:r>
      <w:r>
        <w:rPr>
          <w:rFonts w:ascii="Times New Roman" w:hAnsi="Times New Roman" w:cs="Times New Roman"/>
          <w:sz w:val="24"/>
          <w:szCs w:val="24"/>
        </w:rPr>
        <w:br/>
        <w:t xml:space="preserve">№ А04-746/2018 принято к производству заявление министерства финансов Амурской области о включении в реестр требований кредиторов ликвидируемого должника </w:t>
      </w:r>
      <w:r w:rsidR="005655E3">
        <w:rPr>
          <w:rFonts w:ascii="Times New Roman" w:hAnsi="Times New Roman" w:cs="Times New Roman"/>
          <w:sz w:val="24"/>
          <w:szCs w:val="24"/>
        </w:rPr>
        <w:br/>
      </w:r>
      <w:r>
        <w:rPr>
          <w:rFonts w:ascii="Times New Roman" w:hAnsi="Times New Roman" w:cs="Times New Roman"/>
          <w:sz w:val="24"/>
          <w:szCs w:val="24"/>
        </w:rPr>
        <w:t>ГУП Амурской области «Агро».</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Определением</w:t>
      </w:r>
      <w:r w:rsidRPr="00D4181F">
        <w:rPr>
          <w:rFonts w:ascii="Times New Roman" w:hAnsi="Times New Roman" w:cs="Times New Roman"/>
          <w:sz w:val="24"/>
          <w:szCs w:val="24"/>
        </w:rPr>
        <w:t xml:space="preserve"> Арбитражн</w:t>
      </w:r>
      <w:r>
        <w:rPr>
          <w:rFonts w:ascii="Times New Roman" w:hAnsi="Times New Roman" w:cs="Times New Roman"/>
          <w:sz w:val="24"/>
          <w:szCs w:val="24"/>
        </w:rPr>
        <w:t>ого</w:t>
      </w:r>
      <w:r w:rsidRPr="00D4181F">
        <w:rPr>
          <w:rFonts w:ascii="Times New Roman" w:hAnsi="Times New Roman" w:cs="Times New Roman"/>
          <w:sz w:val="24"/>
          <w:szCs w:val="24"/>
        </w:rPr>
        <w:t xml:space="preserve"> суд</w:t>
      </w:r>
      <w:r>
        <w:rPr>
          <w:rFonts w:ascii="Times New Roman" w:hAnsi="Times New Roman" w:cs="Times New Roman"/>
          <w:sz w:val="24"/>
          <w:szCs w:val="24"/>
        </w:rPr>
        <w:t>а</w:t>
      </w:r>
      <w:r w:rsidRPr="00D4181F">
        <w:rPr>
          <w:rFonts w:ascii="Times New Roman" w:hAnsi="Times New Roman" w:cs="Times New Roman"/>
          <w:sz w:val="24"/>
          <w:szCs w:val="24"/>
        </w:rPr>
        <w:t xml:space="preserve"> Амурской области</w:t>
      </w:r>
      <w:r>
        <w:rPr>
          <w:rFonts w:ascii="Times New Roman" w:hAnsi="Times New Roman" w:cs="Times New Roman"/>
          <w:sz w:val="24"/>
          <w:szCs w:val="24"/>
        </w:rPr>
        <w:t xml:space="preserve"> от 16.05.2018 по делу </w:t>
      </w:r>
      <w:r>
        <w:rPr>
          <w:rFonts w:ascii="Times New Roman" w:hAnsi="Times New Roman" w:cs="Times New Roman"/>
          <w:sz w:val="24"/>
          <w:szCs w:val="24"/>
        </w:rPr>
        <w:br/>
        <w:t>№ А04-746/2018 признаны обоснованными и включены в третью очередь реестра требований кредиторов ГУП Амурской области «Агро» требования министерства финансов Амурской области в размере 794583,9 тыс. рублей, в том числе:</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-662721,6 тыс. рублей – основной долг по бюджетному кредиту;</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-15427,7 тыс. рублей – проценты за пользование кредитами за период с 01.01.2017 по 27.02.2018;</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-83298,6 тыс. рублей – пени за просрочку оплаты за период с 01.01.2017 по 27.02.2018;</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-33136,1 тыс. рублей – административные штрафы.</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Определением </w:t>
      </w:r>
      <w:r w:rsidRPr="00D4181F">
        <w:rPr>
          <w:rFonts w:ascii="Times New Roman" w:hAnsi="Times New Roman" w:cs="Times New Roman"/>
          <w:sz w:val="24"/>
          <w:szCs w:val="24"/>
        </w:rPr>
        <w:t>Арбитражн</w:t>
      </w:r>
      <w:r>
        <w:rPr>
          <w:rFonts w:ascii="Times New Roman" w:hAnsi="Times New Roman" w:cs="Times New Roman"/>
          <w:sz w:val="24"/>
          <w:szCs w:val="24"/>
        </w:rPr>
        <w:t>ого</w:t>
      </w:r>
      <w:r w:rsidRPr="00D4181F">
        <w:rPr>
          <w:rFonts w:ascii="Times New Roman" w:hAnsi="Times New Roman" w:cs="Times New Roman"/>
          <w:sz w:val="24"/>
          <w:szCs w:val="24"/>
        </w:rPr>
        <w:t xml:space="preserve"> суд</w:t>
      </w:r>
      <w:r>
        <w:rPr>
          <w:rFonts w:ascii="Times New Roman" w:hAnsi="Times New Roman" w:cs="Times New Roman"/>
          <w:sz w:val="24"/>
          <w:szCs w:val="24"/>
        </w:rPr>
        <w:t>а</w:t>
      </w:r>
      <w:r w:rsidRPr="00D4181F">
        <w:rPr>
          <w:rFonts w:ascii="Times New Roman" w:hAnsi="Times New Roman" w:cs="Times New Roman"/>
          <w:sz w:val="24"/>
          <w:szCs w:val="24"/>
        </w:rPr>
        <w:t xml:space="preserve"> Амурской области</w:t>
      </w:r>
      <w:r>
        <w:rPr>
          <w:rFonts w:ascii="Times New Roman" w:hAnsi="Times New Roman" w:cs="Times New Roman"/>
          <w:sz w:val="24"/>
          <w:szCs w:val="24"/>
        </w:rPr>
        <w:t xml:space="preserve"> от 28.05.2018 по делу </w:t>
      </w:r>
      <w:r>
        <w:rPr>
          <w:rFonts w:ascii="Times New Roman" w:hAnsi="Times New Roman" w:cs="Times New Roman"/>
          <w:sz w:val="24"/>
          <w:szCs w:val="24"/>
        </w:rPr>
        <w:br/>
        <w:t>№ А04-746/2018 продлен срок конкурсного производства в отношении ГУП Амурской области «Агро» до 27.09.2018 года.</w:t>
      </w:r>
    </w:p>
    <w:p w:rsidR="00776B35" w:rsidRPr="00FE286F" w:rsidRDefault="00FE286F" w:rsidP="00776B35">
      <w:pPr>
        <w:autoSpaceDE w:val="0"/>
        <w:autoSpaceDN w:val="0"/>
        <w:adjustRightInd w:val="0"/>
        <w:spacing w:after="0" w:line="240" w:lineRule="auto"/>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Принимая во внимание результаты ранее проведенных проверок финансово-хозяйственной деятельности </w:t>
      </w:r>
      <w:r w:rsidRPr="00FE286F">
        <w:rPr>
          <w:rFonts w:ascii="Times New Roman" w:hAnsi="Times New Roman" w:cs="Times New Roman"/>
          <w:b/>
          <w:sz w:val="24"/>
          <w:szCs w:val="24"/>
        </w:rPr>
        <w:t>ГУП Амурской области «Агро»</w:t>
      </w:r>
      <w:r>
        <w:rPr>
          <w:rFonts w:ascii="Times New Roman" w:hAnsi="Times New Roman" w:cs="Times New Roman"/>
          <w:b/>
          <w:sz w:val="24"/>
          <w:szCs w:val="24"/>
        </w:rPr>
        <w:t>, к</w:t>
      </w:r>
      <w:r w:rsidRPr="00FE286F">
        <w:rPr>
          <w:rFonts w:ascii="Times New Roman" w:hAnsi="Times New Roman" w:cs="Times New Roman"/>
          <w:b/>
          <w:sz w:val="24"/>
          <w:szCs w:val="24"/>
        </w:rPr>
        <w:t xml:space="preserve">онтрольно-счетная палата Амурской области считает возможным отметить наличие значительных рисков невозможности удовлетворения требований кредитора - министерства финансов Амурской области </w:t>
      </w:r>
      <w:r>
        <w:rPr>
          <w:rFonts w:ascii="Times New Roman" w:hAnsi="Times New Roman" w:cs="Times New Roman"/>
          <w:b/>
          <w:sz w:val="24"/>
          <w:szCs w:val="24"/>
        </w:rPr>
        <w:t xml:space="preserve">по возврату областному бюджету средств </w:t>
      </w:r>
      <w:r w:rsidRPr="00FE286F">
        <w:rPr>
          <w:rFonts w:ascii="Times New Roman" w:hAnsi="Times New Roman" w:cs="Times New Roman"/>
          <w:b/>
          <w:sz w:val="24"/>
          <w:szCs w:val="24"/>
        </w:rPr>
        <w:t>в размере 794583,9 тыс. рублей</w:t>
      </w:r>
      <w:r w:rsidR="004C3485">
        <w:rPr>
          <w:rFonts w:ascii="Times New Roman" w:hAnsi="Times New Roman" w:cs="Times New Roman"/>
          <w:b/>
          <w:sz w:val="24"/>
          <w:szCs w:val="24"/>
        </w:rPr>
        <w:t>.</w:t>
      </w:r>
    </w:p>
    <w:p w:rsidR="00776B35" w:rsidRDefault="00776B35" w:rsidP="00776B35">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36094" w:rsidRPr="00035B80" w:rsidRDefault="00B269A3" w:rsidP="00B269A3">
      <w:pPr>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9</w:t>
      </w:r>
      <w:r w:rsidR="00B36094" w:rsidRPr="00FD42FC">
        <w:rPr>
          <w:rFonts w:ascii="Times New Roman" w:hAnsi="Times New Roman" w:cs="Times New Roman"/>
          <w:b/>
          <w:sz w:val="24"/>
          <w:szCs w:val="24"/>
        </w:rPr>
        <w:t xml:space="preserve">. Анализ состояния внутреннего финансового контроля и внутреннего финансового аудита, осуществляемого главными распорядителями бюджетных средств </w:t>
      </w:r>
      <w:r w:rsidR="00B36094" w:rsidRPr="00035B80">
        <w:rPr>
          <w:rFonts w:ascii="Times New Roman" w:hAnsi="Times New Roman" w:cs="Times New Roman"/>
          <w:b/>
          <w:sz w:val="24"/>
          <w:szCs w:val="24"/>
        </w:rPr>
        <w:t>в 2017 году</w:t>
      </w:r>
    </w:p>
    <w:p w:rsidR="00B36094" w:rsidRPr="00035B80" w:rsidRDefault="00B36094" w:rsidP="00B36094">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035B80">
        <w:rPr>
          <w:rFonts w:ascii="Times New Roman" w:eastAsia="Times New Roman" w:hAnsi="Times New Roman" w:cs="Times New Roman"/>
          <w:sz w:val="24"/>
          <w:szCs w:val="24"/>
          <w:lang w:eastAsia="ru-RU"/>
        </w:rPr>
        <w:t>В</w:t>
      </w:r>
      <w:r w:rsidRPr="00035B80">
        <w:rPr>
          <w:rFonts w:ascii="Times New Roman" w:hAnsi="Times New Roman" w:cs="Times New Roman"/>
          <w:sz w:val="24"/>
          <w:szCs w:val="24"/>
        </w:rPr>
        <w:t xml:space="preserve"> </w:t>
      </w:r>
      <w:r w:rsidRPr="00035B80">
        <w:rPr>
          <w:rFonts w:ascii="Times New Roman" w:eastAsia="Times New Roman" w:hAnsi="Times New Roman" w:cs="Times New Roman"/>
          <w:sz w:val="24"/>
          <w:szCs w:val="24"/>
          <w:lang w:eastAsia="ru-RU"/>
        </w:rPr>
        <w:t xml:space="preserve">соответствии со статьей </w:t>
      </w:r>
      <w:r w:rsidRPr="00035B80">
        <w:rPr>
          <w:rFonts w:ascii="Times New Roman" w:hAnsi="Times New Roman" w:cs="Times New Roman"/>
          <w:sz w:val="24"/>
          <w:szCs w:val="24"/>
        </w:rPr>
        <w:t>160.2-1 Бюджетного кодекса Российской Федерации главные распорядители бюджетных средств</w:t>
      </w:r>
      <w:r w:rsidRPr="00035B80">
        <w:rPr>
          <w:rFonts w:ascii="Times New Roman" w:eastAsia="Times New Roman" w:hAnsi="Times New Roman" w:cs="Times New Roman"/>
          <w:sz w:val="24"/>
          <w:szCs w:val="24"/>
          <w:lang w:eastAsia="ru-RU"/>
        </w:rPr>
        <w:t xml:space="preserve"> </w:t>
      </w:r>
      <w:r w:rsidRPr="00035B80">
        <w:rPr>
          <w:rFonts w:ascii="Times New Roman" w:hAnsi="Times New Roman" w:cs="Times New Roman"/>
          <w:sz w:val="24"/>
          <w:szCs w:val="24"/>
        </w:rPr>
        <w:t xml:space="preserve">наделены бюджетными полномочиями по внутреннему финансовому контролю и внутреннему финансовому аудиту, осуществляемым в соответствии с </w:t>
      </w:r>
      <w:hyperlink r:id="rId52" w:history="1">
        <w:r w:rsidRPr="00035B80">
          <w:rPr>
            <w:rFonts w:ascii="Times New Roman" w:hAnsi="Times New Roman" w:cs="Times New Roman"/>
            <w:sz w:val="24"/>
            <w:szCs w:val="24"/>
          </w:rPr>
          <w:t>порядком</w:t>
        </w:r>
      </w:hyperlink>
      <w:r w:rsidRPr="00035B80">
        <w:rPr>
          <w:rFonts w:ascii="Times New Roman" w:hAnsi="Times New Roman" w:cs="Times New Roman"/>
          <w:sz w:val="24"/>
          <w:szCs w:val="24"/>
        </w:rPr>
        <w:t>, установленным высшим исполнительным органом государственной власти субъекта Российской Федерации.</w:t>
      </w:r>
    </w:p>
    <w:p w:rsidR="00B36094" w:rsidRPr="00035B80"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5B80">
        <w:rPr>
          <w:rFonts w:ascii="Times New Roman" w:eastAsia="Times New Roman" w:hAnsi="Times New Roman" w:cs="Times New Roman"/>
          <w:sz w:val="24"/>
          <w:szCs w:val="24"/>
          <w:lang w:eastAsia="ru-RU"/>
        </w:rPr>
        <w:t xml:space="preserve">Постановлением Правительства Амурской области от 30.06.2011 № 439 (ред. от 01.11.2013) утвержден </w:t>
      </w:r>
      <w:hyperlink r:id="rId53" w:history="1">
        <w:r w:rsidRPr="00035B80">
          <w:rPr>
            <w:rFonts w:ascii="Times New Roman" w:eastAsia="Times New Roman" w:hAnsi="Times New Roman" w:cs="Times New Roman"/>
            <w:sz w:val="24"/>
            <w:szCs w:val="24"/>
            <w:lang w:eastAsia="ru-RU"/>
          </w:rPr>
          <w:t>Порядок</w:t>
        </w:r>
      </w:hyperlink>
      <w:r w:rsidRPr="00035B80">
        <w:rPr>
          <w:rFonts w:ascii="Times New Roman" w:eastAsia="Times New Roman" w:hAnsi="Times New Roman" w:cs="Times New Roman"/>
          <w:sz w:val="24"/>
          <w:szCs w:val="24"/>
          <w:lang w:eastAsia="ru-RU"/>
        </w:rPr>
        <w:t xml:space="preserve"> осуществления </w:t>
      </w:r>
      <w:r w:rsidRPr="00035B80">
        <w:rPr>
          <w:rFonts w:ascii="Times New Roman" w:hAnsi="Times New Roman" w:cs="Times New Roman"/>
          <w:sz w:val="24"/>
          <w:szCs w:val="24"/>
        </w:rPr>
        <w:t>внутреннего финансового контроля и внутреннего финансового аудита, которым установлены единые требования к проведению мероприятий внутреннего финансового контроля и внутреннего финансового аудита главными распорядителями средств областного бюджета.</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5B80">
        <w:rPr>
          <w:rFonts w:ascii="Times New Roman" w:hAnsi="Times New Roman" w:cs="Times New Roman"/>
          <w:sz w:val="24"/>
          <w:szCs w:val="24"/>
        </w:rPr>
        <w:t xml:space="preserve">Согласно проведенному министерством финансов Амурской области, в соответствии со </w:t>
      </w:r>
      <w:r w:rsidRPr="00035B80">
        <w:rPr>
          <w:rFonts w:ascii="Times New Roman" w:eastAsia="Times New Roman" w:hAnsi="Times New Roman" w:cs="Times New Roman"/>
          <w:sz w:val="24"/>
          <w:szCs w:val="24"/>
          <w:lang w:eastAsia="ru-RU"/>
        </w:rPr>
        <w:t xml:space="preserve">статьей </w:t>
      </w:r>
      <w:r w:rsidRPr="00035B80">
        <w:rPr>
          <w:rFonts w:ascii="Times New Roman" w:hAnsi="Times New Roman" w:cs="Times New Roman"/>
          <w:sz w:val="24"/>
          <w:szCs w:val="24"/>
        </w:rPr>
        <w:t>157</w:t>
      </w:r>
      <w:r w:rsidRPr="00BE5394">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w:t>
      </w:r>
      <w:r w:rsidRPr="00BE5394">
        <w:rPr>
          <w:rFonts w:ascii="Times New Roman" w:hAnsi="Times New Roman" w:cs="Times New Roman"/>
          <w:sz w:val="24"/>
          <w:szCs w:val="24"/>
        </w:rPr>
        <w:t xml:space="preserve"> анализ</w:t>
      </w:r>
      <w:r>
        <w:rPr>
          <w:rFonts w:ascii="Times New Roman" w:hAnsi="Times New Roman" w:cs="Times New Roman"/>
          <w:sz w:val="24"/>
          <w:szCs w:val="24"/>
        </w:rPr>
        <w:t>у</w:t>
      </w:r>
      <w:r w:rsidRPr="00BE5394">
        <w:rPr>
          <w:rFonts w:ascii="Times New Roman" w:hAnsi="Times New Roman" w:cs="Times New Roman"/>
          <w:sz w:val="24"/>
          <w:szCs w:val="24"/>
        </w:rPr>
        <w:t xml:space="preserve"> осуществления главными администраторами бюджетных средств внутреннего финансового контроля и внутреннего финансового аудита</w:t>
      </w:r>
      <w:r>
        <w:rPr>
          <w:rFonts w:ascii="Times New Roman" w:hAnsi="Times New Roman" w:cs="Times New Roman"/>
          <w:sz w:val="24"/>
          <w:szCs w:val="24"/>
        </w:rPr>
        <w:t xml:space="preserve">, </w:t>
      </w:r>
      <w:r w:rsidRPr="00BE5394">
        <w:rPr>
          <w:rFonts w:ascii="Times New Roman" w:hAnsi="Times New Roman" w:cs="Times New Roman"/>
          <w:sz w:val="24"/>
          <w:szCs w:val="24"/>
        </w:rPr>
        <w:t>в 201</w:t>
      </w:r>
      <w:r>
        <w:rPr>
          <w:rFonts w:ascii="Times New Roman" w:hAnsi="Times New Roman" w:cs="Times New Roman"/>
          <w:sz w:val="24"/>
          <w:szCs w:val="24"/>
        </w:rPr>
        <w:t>7</w:t>
      </w:r>
      <w:r w:rsidRPr="00BE5394">
        <w:rPr>
          <w:rFonts w:ascii="Times New Roman" w:hAnsi="Times New Roman" w:cs="Times New Roman"/>
          <w:sz w:val="24"/>
          <w:szCs w:val="24"/>
        </w:rPr>
        <w:t xml:space="preserve"> году исполнительными органами власти Амурской области – главными администраторами бюджетных средств</w:t>
      </w:r>
      <w:r>
        <w:rPr>
          <w:rFonts w:ascii="Times New Roman" w:hAnsi="Times New Roman" w:cs="Times New Roman"/>
          <w:sz w:val="24"/>
          <w:szCs w:val="24"/>
        </w:rPr>
        <w:t xml:space="preserve"> проведено 180 контрольных мероприятий (в 2015 – 236, в 2016- 215), из которых 76 - в отношении областных государственных учреждений (в 2015 – 106, в 2016- 97), 61 - в отношении органов местного </w:t>
      </w:r>
      <w:r>
        <w:rPr>
          <w:rFonts w:ascii="Times New Roman" w:hAnsi="Times New Roman" w:cs="Times New Roman"/>
          <w:sz w:val="24"/>
          <w:szCs w:val="24"/>
        </w:rPr>
        <w:lastRenderedPageBreak/>
        <w:t xml:space="preserve">самоуправления (в 2015 – 86, в 2016- 88), 43 - в отношении иных юридических и физических лиц (в 2015 – 42, в 2016- 30). Выявлено нарушений на сумму 40,2 млн. рублей </w:t>
      </w:r>
      <w:r>
        <w:rPr>
          <w:rFonts w:ascii="Times New Roman" w:hAnsi="Times New Roman" w:cs="Times New Roman"/>
          <w:sz w:val="24"/>
          <w:szCs w:val="24"/>
        </w:rPr>
        <w:br/>
        <w:t xml:space="preserve">(в 2015 - 210,1 млн. рублей, в 2016- 57,3 млн. рублей), из них нецелевое использование бюджетных средств – 1,8 млн. рублей (в 2015 – 11,5 млн. рублей, в 2016 - 1,7 млн. рублей), неэффективное использование средств – 10,9 млн. рублей (в 2015 – 132,2 млн. рублей, </w:t>
      </w:r>
      <w:r>
        <w:rPr>
          <w:rFonts w:ascii="Times New Roman" w:hAnsi="Times New Roman" w:cs="Times New Roman"/>
          <w:sz w:val="24"/>
          <w:szCs w:val="24"/>
        </w:rPr>
        <w:br/>
        <w:t xml:space="preserve">в 2016 - 4,6 млн. рублей), неправомерное использование средств – 16,0 млн. рублей </w:t>
      </w:r>
      <w:r>
        <w:rPr>
          <w:rFonts w:ascii="Times New Roman" w:hAnsi="Times New Roman" w:cs="Times New Roman"/>
          <w:sz w:val="24"/>
          <w:szCs w:val="24"/>
        </w:rPr>
        <w:br/>
        <w:t>(в 2015 – 35,8 млн. рублей, в 2016 - 15,1 млн. рублей), недостачи и переплаты – 1,2 млн. рублей (в 2015 – 2,5 млн. рублей, в 2016 - 1,9 млн. рублей), прочие нарушения – 10,3 млн. рублей (в 2015 – 28,1 млн. рублей, в 2016 - 31,0 млн. рублей).</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принятых исполнительными органами государственной власти области мер устранено нарушений на сумму 0,9 млн. рублей (в 2015 – 4,1 млн. рублей, </w:t>
      </w:r>
      <w:r>
        <w:rPr>
          <w:rFonts w:ascii="Times New Roman" w:hAnsi="Times New Roman" w:cs="Times New Roman"/>
          <w:sz w:val="24"/>
          <w:szCs w:val="24"/>
        </w:rPr>
        <w:br/>
        <w:t xml:space="preserve">в 2016 - 8,0 млн. рублей), в том числе возмещено в доход бюджета – 0,3 млн. рублей </w:t>
      </w:r>
      <w:r>
        <w:rPr>
          <w:rFonts w:ascii="Times New Roman" w:hAnsi="Times New Roman" w:cs="Times New Roman"/>
          <w:sz w:val="24"/>
          <w:szCs w:val="24"/>
        </w:rPr>
        <w:br/>
        <w:t xml:space="preserve">(в 2015 – 2,5 млн. рублей, в 2016 - 3,9 млн. рублей), возмещено недостач и переплат – </w:t>
      </w:r>
      <w:r>
        <w:rPr>
          <w:rFonts w:ascii="Times New Roman" w:hAnsi="Times New Roman" w:cs="Times New Roman"/>
          <w:sz w:val="24"/>
          <w:szCs w:val="24"/>
        </w:rPr>
        <w:br/>
        <w:t xml:space="preserve">0,02 млн. рублей (в 2015 – 0,02 млн. рублей, в 2016 - 3,0 млн. рублей), восстановлено в </w:t>
      </w:r>
      <w:r w:rsidRPr="00FF6C6B">
        <w:rPr>
          <w:rFonts w:ascii="Times New Roman" w:hAnsi="Times New Roman" w:cs="Times New Roman"/>
          <w:sz w:val="24"/>
          <w:szCs w:val="24"/>
        </w:rPr>
        <w:t xml:space="preserve">бухгалтерском учете – </w:t>
      </w:r>
      <w:r>
        <w:rPr>
          <w:rFonts w:ascii="Times New Roman" w:hAnsi="Times New Roman" w:cs="Times New Roman"/>
          <w:sz w:val="24"/>
          <w:szCs w:val="24"/>
        </w:rPr>
        <w:t>0</w:t>
      </w:r>
      <w:r w:rsidRPr="00FF6C6B">
        <w:rPr>
          <w:rFonts w:ascii="Times New Roman" w:hAnsi="Times New Roman" w:cs="Times New Roman"/>
          <w:sz w:val="24"/>
          <w:szCs w:val="24"/>
        </w:rPr>
        <w:t>,</w:t>
      </w:r>
      <w:r>
        <w:rPr>
          <w:rFonts w:ascii="Times New Roman" w:hAnsi="Times New Roman" w:cs="Times New Roman"/>
          <w:sz w:val="24"/>
          <w:szCs w:val="24"/>
        </w:rPr>
        <w:t>6</w:t>
      </w:r>
      <w:r w:rsidRPr="00FF6C6B">
        <w:rPr>
          <w:rFonts w:ascii="Times New Roman" w:hAnsi="Times New Roman" w:cs="Times New Roman"/>
          <w:sz w:val="24"/>
          <w:szCs w:val="24"/>
        </w:rPr>
        <w:t xml:space="preserve"> млн. рублей (в 2015 – 1,5 млн. рублей</w:t>
      </w:r>
      <w:r>
        <w:rPr>
          <w:rFonts w:ascii="Times New Roman" w:hAnsi="Times New Roman" w:cs="Times New Roman"/>
          <w:sz w:val="24"/>
          <w:szCs w:val="24"/>
        </w:rPr>
        <w:t>, в 2016 - 1,0 млн. рублей</w:t>
      </w:r>
      <w:r w:rsidRPr="00FF6C6B">
        <w:rPr>
          <w:rFonts w:ascii="Times New Roman" w:hAnsi="Times New Roman" w:cs="Times New Roman"/>
          <w:sz w:val="24"/>
          <w:szCs w:val="24"/>
        </w:rPr>
        <w:t>). К дисциплинарной ответственности за д</w:t>
      </w:r>
      <w:r>
        <w:rPr>
          <w:rFonts w:ascii="Times New Roman" w:hAnsi="Times New Roman" w:cs="Times New Roman"/>
          <w:sz w:val="24"/>
          <w:szCs w:val="24"/>
        </w:rPr>
        <w:t xml:space="preserve">опущенные нарушения привлечено </w:t>
      </w:r>
      <w:r w:rsidRPr="00FF6C6B">
        <w:rPr>
          <w:rFonts w:ascii="Times New Roman" w:hAnsi="Times New Roman" w:cs="Times New Roman"/>
          <w:sz w:val="24"/>
          <w:szCs w:val="24"/>
        </w:rPr>
        <w:t>1</w:t>
      </w:r>
      <w:r>
        <w:rPr>
          <w:rFonts w:ascii="Times New Roman" w:hAnsi="Times New Roman" w:cs="Times New Roman"/>
          <w:sz w:val="24"/>
          <w:szCs w:val="24"/>
        </w:rPr>
        <w:t>9</w:t>
      </w:r>
      <w:r w:rsidRPr="00FF6C6B">
        <w:rPr>
          <w:rFonts w:ascii="Times New Roman" w:hAnsi="Times New Roman" w:cs="Times New Roman"/>
          <w:sz w:val="24"/>
          <w:szCs w:val="24"/>
        </w:rPr>
        <w:t xml:space="preserve"> должностн</w:t>
      </w:r>
      <w:r>
        <w:rPr>
          <w:rFonts w:ascii="Times New Roman" w:hAnsi="Times New Roman" w:cs="Times New Roman"/>
          <w:sz w:val="24"/>
          <w:szCs w:val="24"/>
        </w:rPr>
        <w:t>ых</w:t>
      </w:r>
      <w:r w:rsidRPr="00FF6C6B">
        <w:rPr>
          <w:rFonts w:ascii="Times New Roman" w:hAnsi="Times New Roman" w:cs="Times New Roman"/>
          <w:sz w:val="24"/>
          <w:szCs w:val="24"/>
        </w:rPr>
        <w:t xml:space="preserve"> лиц (в 2015 – 31</w:t>
      </w:r>
      <w:r>
        <w:rPr>
          <w:rFonts w:ascii="Times New Roman" w:hAnsi="Times New Roman" w:cs="Times New Roman"/>
          <w:sz w:val="24"/>
          <w:szCs w:val="24"/>
        </w:rPr>
        <w:t>, в 2016 - 31</w:t>
      </w:r>
      <w:r w:rsidRPr="00FF6C6B">
        <w:rPr>
          <w:rFonts w:ascii="Times New Roman" w:hAnsi="Times New Roman" w:cs="Times New Roman"/>
          <w:sz w:val="24"/>
          <w:szCs w:val="24"/>
        </w:rPr>
        <w:t>).</w:t>
      </w:r>
    </w:p>
    <w:p w:rsidR="00B36094" w:rsidRPr="00EE274A"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Амурской области на основе анализа данных за три предыдущих года отмечает динамику снижения количества проведенных </w:t>
      </w:r>
      <w:r w:rsidRPr="00BE5394">
        <w:rPr>
          <w:rFonts w:ascii="Times New Roman" w:hAnsi="Times New Roman" w:cs="Times New Roman"/>
          <w:sz w:val="24"/>
          <w:szCs w:val="24"/>
        </w:rPr>
        <w:t>исполнительными органами власти Амурской области – главными администраторами бюджетных средств</w:t>
      </w:r>
      <w:r>
        <w:rPr>
          <w:rFonts w:ascii="Times New Roman" w:hAnsi="Times New Roman" w:cs="Times New Roman"/>
          <w:sz w:val="24"/>
          <w:szCs w:val="24"/>
        </w:rPr>
        <w:t xml:space="preserve"> контрольных мероприятий (на 16 процентов к 2016 году и на 23,7 процента к 2015 году) и объемов нарушений, выявленных контрольными мероприятиями (на 29,8 процента к </w:t>
      </w:r>
      <w:r>
        <w:rPr>
          <w:rFonts w:ascii="Times New Roman" w:hAnsi="Times New Roman" w:cs="Times New Roman"/>
          <w:sz w:val="24"/>
          <w:szCs w:val="24"/>
        </w:rPr>
        <w:br/>
        <w:t>2016 году и в 5,2 раза к 201</w:t>
      </w:r>
      <w:r w:rsidR="004C3485">
        <w:rPr>
          <w:rFonts w:ascii="Times New Roman" w:hAnsi="Times New Roman" w:cs="Times New Roman"/>
          <w:sz w:val="24"/>
          <w:szCs w:val="24"/>
        </w:rPr>
        <w:t>5 году).</w:t>
      </w:r>
    </w:p>
    <w:p w:rsidR="00B36094" w:rsidRDefault="00B36094" w:rsidP="00B36094">
      <w:pPr>
        <w:spacing w:after="0" w:line="240" w:lineRule="auto"/>
        <w:ind w:firstLine="709"/>
        <w:jc w:val="both"/>
        <w:rPr>
          <w:rFonts w:ascii="Times New Roman" w:hAnsi="Times New Roman" w:cs="Times New Roman"/>
          <w:sz w:val="24"/>
          <w:szCs w:val="24"/>
        </w:rPr>
      </w:pPr>
      <w:r w:rsidRPr="00EE274A">
        <w:rPr>
          <w:rFonts w:ascii="Times New Roman" w:hAnsi="Times New Roman" w:cs="Times New Roman"/>
          <w:sz w:val="24"/>
          <w:szCs w:val="24"/>
        </w:rPr>
        <w:t>Кроме того, контрольно-счетная палата области отмечает крайне низкий уровень устранения финансовых нарушений, выявленных подразделениями внутреннего финансового контроля и внутреннего финансового аудита, который составил в 2017 году – 2,2 процента объема выявленных нарушений (в 2016 году – 14 процент</w:t>
      </w:r>
      <w:r w:rsidR="004C3485">
        <w:rPr>
          <w:rFonts w:ascii="Times New Roman" w:hAnsi="Times New Roman" w:cs="Times New Roman"/>
          <w:sz w:val="24"/>
          <w:szCs w:val="24"/>
        </w:rPr>
        <w:t xml:space="preserve">ов, в 2015 году – </w:t>
      </w:r>
      <w:r w:rsidR="004C3485">
        <w:rPr>
          <w:rFonts w:ascii="Times New Roman" w:hAnsi="Times New Roman" w:cs="Times New Roman"/>
          <w:sz w:val="24"/>
          <w:szCs w:val="24"/>
        </w:rPr>
        <w:br/>
        <w:t>2 процента).</w:t>
      </w:r>
    </w:p>
    <w:p w:rsidR="00B36094" w:rsidRPr="00652958" w:rsidRDefault="00B36094" w:rsidP="00B36094">
      <w:pPr>
        <w:spacing w:after="0" w:line="240" w:lineRule="auto"/>
        <w:ind w:firstLine="709"/>
        <w:jc w:val="both"/>
        <w:rPr>
          <w:rFonts w:ascii="Times New Roman" w:hAnsi="Times New Roman" w:cs="Times New Roman"/>
          <w:sz w:val="24"/>
          <w:szCs w:val="24"/>
        </w:rPr>
      </w:pPr>
      <w:r w:rsidRPr="00652958">
        <w:rPr>
          <w:rFonts w:ascii="Times New Roman" w:hAnsi="Times New Roman" w:cs="Times New Roman"/>
          <w:sz w:val="24"/>
          <w:szCs w:val="24"/>
        </w:rPr>
        <w:t xml:space="preserve">По мнению контрольно-счетной палаты Амурской области, одним из факторов, влияющих на уровень устранения финансовых нарушений, выявляемых подразделениями внутреннего финансового контроля и внутреннего финансового аудита, является </w:t>
      </w:r>
      <w:r w:rsidR="00AF6222">
        <w:rPr>
          <w:rFonts w:ascii="Times New Roman" w:hAnsi="Times New Roman" w:cs="Times New Roman"/>
          <w:sz w:val="24"/>
          <w:szCs w:val="24"/>
        </w:rPr>
        <w:t xml:space="preserve">ограниченный вариант </w:t>
      </w:r>
      <w:r w:rsidRPr="00AF6222">
        <w:rPr>
          <w:rFonts w:ascii="Times New Roman" w:hAnsi="Times New Roman" w:cs="Times New Roman"/>
          <w:sz w:val="24"/>
          <w:szCs w:val="24"/>
        </w:rPr>
        <w:t xml:space="preserve">механизмов </w:t>
      </w:r>
      <w:r w:rsidRPr="00035B80">
        <w:rPr>
          <w:rFonts w:ascii="Times New Roman" w:hAnsi="Times New Roman" w:cs="Times New Roman"/>
          <w:sz w:val="24"/>
          <w:szCs w:val="24"/>
        </w:rPr>
        <w:t xml:space="preserve">реализации контрольных мероприятий, </w:t>
      </w:r>
      <w:r w:rsidRPr="00652958">
        <w:rPr>
          <w:rFonts w:ascii="Times New Roman" w:hAnsi="Times New Roman" w:cs="Times New Roman"/>
          <w:sz w:val="24"/>
          <w:szCs w:val="24"/>
        </w:rPr>
        <w:t>предусмотренны</w:t>
      </w:r>
      <w:r w:rsidR="00AF6222">
        <w:rPr>
          <w:rFonts w:ascii="Times New Roman" w:hAnsi="Times New Roman" w:cs="Times New Roman"/>
          <w:sz w:val="24"/>
          <w:szCs w:val="24"/>
        </w:rPr>
        <w:t>й</w:t>
      </w:r>
      <w:r w:rsidRPr="00652958">
        <w:rPr>
          <w:rFonts w:ascii="Times New Roman" w:hAnsi="Times New Roman" w:cs="Times New Roman"/>
          <w:sz w:val="24"/>
          <w:szCs w:val="24"/>
        </w:rPr>
        <w:t xml:space="preserve"> «</w:t>
      </w:r>
      <w:hyperlink r:id="rId54" w:history="1">
        <w:r w:rsidRPr="00652958">
          <w:rPr>
            <w:rFonts w:ascii="Times New Roman" w:eastAsia="Times New Roman" w:hAnsi="Times New Roman" w:cs="Times New Roman"/>
            <w:sz w:val="24"/>
            <w:szCs w:val="24"/>
            <w:lang w:eastAsia="ru-RU"/>
          </w:rPr>
          <w:t>Порядк</w:t>
        </w:r>
      </w:hyperlink>
      <w:r w:rsidRPr="00652958">
        <w:rPr>
          <w:rFonts w:ascii="Times New Roman" w:eastAsia="Times New Roman" w:hAnsi="Times New Roman" w:cs="Times New Roman"/>
          <w:sz w:val="24"/>
          <w:szCs w:val="24"/>
          <w:lang w:eastAsia="ru-RU"/>
        </w:rPr>
        <w:t xml:space="preserve">ом осуществления </w:t>
      </w:r>
      <w:r w:rsidRPr="00652958">
        <w:rPr>
          <w:rFonts w:ascii="Times New Roman" w:hAnsi="Times New Roman" w:cs="Times New Roman"/>
          <w:sz w:val="24"/>
          <w:szCs w:val="24"/>
        </w:rPr>
        <w:t xml:space="preserve">внутреннего финансового контроля и внутреннего финансового аудита», утвержденным </w:t>
      </w:r>
      <w:r w:rsidRPr="00652958">
        <w:rPr>
          <w:rFonts w:ascii="Times New Roman" w:eastAsia="Times New Roman" w:hAnsi="Times New Roman" w:cs="Times New Roman"/>
          <w:sz w:val="24"/>
          <w:szCs w:val="24"/>
          <w:lang w:eastAsia="ru-RU"/>
        </w:rPr>
        <w:t xml:space="preserve">Постановлением Правительства Амурской области от 30.06.2011 № 439 (ред. от 01.11.2013), </w:t>
      </w:r>
      <w:r w:rsidRPr="00035B80">
        <w:rPr>
          <w:rFonts w:ascii="Times New Roman" w:eastAsia="Times New Roman" w:hAnsi="Times New Roman" w:cs="Times New Roman"/>
          <w:sz w:val="24"/>
          <w:szCs w:val="24"/>
          <w:lang w:eastAsia="ru-RU"/>
        </w:rPr>
        <w:t>которым этап реализации материалов контрольных мероприятий предусматривает напр</w:t>
      </w:r>
      <w:r w:rsidRPr="00652958">
        <w:rPr>
          <w:rFonts w:ascii="Times New Roman" w:eastAsia="Times New Roman" w:hAnsi="Times New Roman" w:cs="Times New Roman"/>
          <w:sz w:val="24"/>
          <w:szCs w:val="24"/>
          <w:lang w:eastAsia="ru-RU"/>
        </w:rPr>
        <w:t xml:space="preserve">авление </w:t>
      </w:r>
      <w:r w:rsidRPr="00652958">
        <w:rPr>
          <w:rFonts w:ascii="Times New Roman" w:hAnsi="Times New Roman" w:cs="Times New Roman"/>
          <w:sz w:val="24"/>
          <w:szCs w:val="24"/>
        </w:rPr>
        <w:t>руководителю проверенной организации предложений для принятия мер по устранению выявленных нарушений, возмещению причиненного государству ущерба и привлечению к ответственности виновных лиц и направление материалов проверок, в ходе которых были выявлены нарушения финансовой дисциплины, недостачи денежных средств и материальных ценностей, в правоохранительные органы.</w:t>
      </w:r>
    </w:p>
    <w:p w:rsidR="00B36094" w:rsidRPr="00652958" w:rsidRDefault="00B36094" w:rsidP="00B36094">
      <w:pPr>
        <w:tabs>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52958">
        <w:rPr>
          <w:rFonts w:ascii="Times New Roman" w:hAnsi="Times New Roman" w:cs="Times New Roman"/>
          <w:sz w:val="24"/>
          <w:szCs w:val="24"/>
        </w:rPr>
        <w:t xml:space="preserve">В заключении на исполнение областного бюджета за 2016 год, направленном контрольно-счетной палатой Амурской области в адрес губернатора Амурской области от 09.06.2017 № 01-08/463, Правительству Амурской области было предложено «в целях обеспечения единообразного подхода к организации и проведению внутреннего финансового контроля и внутреннего финансового аудита главными администраторами бюджетных средств, повышения эффективности и действенности внутреннего финансового контроля рассмотреть вопрос внесения изменений в </w:t>
      </w:r>
      <w:hyperlink r:id="rId55" w:history="1">
        <w:r w:rsidRPr="00652958">
          <w:rPr>
            <w:rFonts w:ascii="Times New Roman" w:hAnsi="Times New Roman" w:cs="Times New Roman"/>
            <w:sz w:val="24"/>
            <w:szCs w:val="24"/>
          </w:rPr>
          <w:t>Порядок</w:t>
        </w:r>
      </w:hyperlink>
      <w:r w:rsidRPr="00652958">
        <w:rPr>
          <w:rFonts w:ascii="Times New Roman" w:hAnsi="Times New Roman" w:cs="Times New Roman"/>
          <w:sz w:val="24"/>
          <w:szCs w:val="24"/>
        </w:rPr>
        <w:t xml:space="preserve"> осуществления внутреннего финансового контроля и внутреннего финансового аудита, утвержденный Постановлением Правительства Амурской области от 30.06.2011 № 439, в части установления требований о направлении материалов проверок по фактам нарушений, за совершение которых применяются бюджетные меры принуждения, а также предусмотрена административная ответственность, в адрес министерства финансов области для принятия решений о применении бюджетных </w:t>
      </w:r>
      <w:r w:rsidRPr="00652958">
        <w:rPr>
          <w:rFonts w:ascii="Times New Roman" w:hAnsi="Times New Roman" w:cs="Times New Roman"/>
          <w:sz w:val="24"/>
          <w:szCs w:val="24"/>
        </w:rPr>
        <w:lastRenderedPageBreak/>
        <w:t>мер принуждения и рассмотрения вопроса о возбуждении дел об административном правонарушении.</w:t>
      </w:r>
    </w:p>
    <w:p w:rsidR="00B36094" w:rsidRDefault="00B36094" w:rsidP="00B36094">
      <w:pPr>
        <w:spacing w:after="0" w:line="240" w:lineRule="auto"/>
        <w:ind w:firstLine="709"/>
        <w:jc w:val="both"/>
        <w:rPr>
          <w:rFonts w:ascii="Times New Roman" w:hAnsi="Times New Roman" w:cs="Times New Roman"/>
          <w:sz w:val="24"/>
          <w:szCs w:val="24"/>
        </w:rPr>
      </w:pPr>
      <w:r w:rsidRPr="00652958">
        <w:rPr>
          <w:rFonts w:ascii="Times New Roman" w:hAnsi="Times New Roman" w:cs="Times New Roman"/>
          <w:sz w:val="24"/>
          <w:szCs w:val="24"/>
        </w:rPr>
        <w:t>Министерство финансов Амурской области, которое в соответствии с «</w:t>
      </w:r>
      <w:hyperlink r:id="rId56" w:history="1">
        <w:r w:rsidRPr="00652958">
          <w:rPr>
            <w:rFonts w:ascii="Times New Roman" w:eastAsia="Times New Roman" w:hAnsi="Times New Roman" w:cs="Times New Roman"/>
            <w:sz w:val="24"/>
            <w:szCs w:val="24"/>
            <w:lang w:eastAsia="ru-RU"/>
          </w:rPr>
          <w:t>Порядк</w:t>
        </w:r>
      </w:hyperlink>
      <w:r w:rsidRPr="00652958">
        <w:rPr>
          <w:rFonts w:ascii="Times New Roman" w:eastAsia="Times New Roman" w:hAnsi="Times New Roman" w:cs="Times New Roman"/>
          <w:sz w:val="24"/>
          <w:szCs w:val="24"/>
          <w:lang w:eastAsia="ru-RU"/>
        </w:rPr>
        <w:t xml:space="preserve">ом осуществления </w:t>
      </w:r>
      <w:r w:rsidRPr="00652958">
        <w:rPr>
          <w:rFonts w:ascii="Times New Roman" w:hAnsi="Times New Roman" w:cs="Times New Roman"/>
          <w:sz w:val="24"/>
          <w:szCs w:val="24"/>
        </w:rPr>
        <w:t xml:space="preserve">внутреннего финансового контроля и внутреннего финансового аудита», утвержденным </w:t>
      </w:r>
      <w:r w:rsidRPr="00652958">
        <w:rPr>
          <w:rFonts w:ascii="Times New Roman" w:eastAsia="Times New Roman" w:hAnsi="Times New Roman" w:cs="Times New Roman"/>
          <w:sz w:val="24"/>
          <w:szCs w:val="24"/>
          <w:lang w:eastAsia="ru-RU"/>
        </w:rPr>
        <w:t>Постановлением</w:t>
      </w:r>
      <w:r w:rsidRPr="00A04E7F">
        <w:rPr>
          <w:rFonts w:ascii="Times New Roman" w:eastAsia="Times New Roman" w:hAnsi="Times New Roman" w:cs="Times New Roman"/>
          <w:sz w:val="24"/>
          <w:szCs w:val="24"/>
          <w:lang w:eastAsia="ru-RU"/>
        </w:rPr>
        <w:t xml:space="preserve"> Правительства Амурской области от 30.06.2011 № 439 (ред. от 01.11.20</w:t>
      </w:r>
      <w:r>
        <w:rPr>
          <w:rFonts w:ascii="Times New Roman" w:eastAsia="Times New Roman" w:hAnsi="Times New Roman" w:cs="Times New Roman"/>
          <w:sz w:val="24"/>
          <w:szCs w:val="24"/>
          <w:lang w:eastAsia="ru-RU"/>
        </w:rPr>
        <w:t>1</w:t>
      </w:r>
      <w:r w:rsidRPr="00A04E7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DD36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D3672">
        <w:rPr>
          <w:rFonts w:ascii="Times New Roman" w:hAnsi="Times New Roman" w:cs="Times New Roman"/>
          <w:sz w:val="24"/>
          <w:szCs w:val="24"/>
        </w:rPr>
        <w:t>обеспечивает координацию проведения мероприятий внутреннего финансового контроля и внутреннего финансового аудита»</w:t>
      </w:r>
      <w:r>
        <w:rPr>
          <w:rFonts w:ascii="Times New Roman" w:hAnsi="Times New Roman" w:cs="Times New Roman"/>
          <w:sz w:val="24"/>
          <w:szCs w:val="24"/>
        </w:rPr>
        <w:t xml:space="preserve">, в письме от 10.04.2018 </w:t>
      </w:r>
      <w:r>
        <w:rPr>
          <w:rFonts w:ascii="Times New Roman" w:hAnsi="Times New Roman" w:cs="Times New Roman"/>
          <w:sz w:val="24"/>
          <w:szCs w:val="24"/>
        </w:rPr>
        <w:br/>
        <w:t>№ 07-04/2046 проинформировало контрольно-счетную палату Амурской области, что «возложение на органы, осуществляющие внутренний финансовый контроль, требования о направлении материалов проверок по фактам нарушений, за совершение которых применяются бюджетные меры принуждения и предусмотрена административная ответственность, не соответствует полномочиям и объективным возможностям данных органов».</w:t>
      </w:r>
    </w:p>
    <w:p w:rsidR="00B36094" w:rsidRPr="00035B80" w:rsidRDefault="00B36094" w:rsidP="00B36094">
      <w:pPr>
        <w:spacing w:after="0" w:line="240" w:lineRule="auto"/>
        <w:ind w:firstLine="709"/>
        <w:jc w:val="both"/>
        <w:rPr>
          <w:rFonts w:ascii="Times New Roman" w:hAnsi="Times New Roman" w:cs="Times New Roman"/>
          <w:sz w:val="24"/>
          <w:szCs w:val="24"/>
        </w:rPr>
      </w:pPr>
      <w:r w:rsidRPr="00035B80">
        <w:rPr>
          <w:rFonts w:ascii="Times New Roman" w:hAnsi="Times New Roman" w:cs="Times New Roman"/>
          <w:sz w:val="24"/>
          <w:szCs w:val="24"/>
        </w:rPr>
        <w:t xml:space="preserve">Контрольно-счетная палата области обращает внимание, что Методическими </w:t>
      </w:r>
      <w:hyperlink w:anchor="P24" w:history="1">
        <w:r w:rsidRPr="00035B80">
          <w:rPr>
            <w:rFonts w:ascii="Times New Roman" w:hAnsi="Times New Roman" w:cs="Times New Roman"/>
            <w:sz w:val="24"/>
            <w:szCs w:val="24"/>
          </w:rPr>
          <w:t>рекомендаци</w:t>
        </w:r>
      </w:hyperlink>
      <w:r w:rsidRPr="00035B80">
        <w:rPr>
          <w:rFonts w:ascii="Times New Roman" w:hAnsi="Times New Roman" w:cs="Times New Roman"/>
          <w:sz w:val="24"/>
          <w:szCs w:val="24"/>
        </w:rPr>
        <w:t xml:space="preserve">ями по осуществлению внутреннего финансового аудита, утвержденными приказом Минфина Российской Федерации от 30.12.2016 № 822 (ред. от 29.12.2017), определено, что по результатам рассмотрения отчета о результатах аудиторской проверки руководитель главного администратора (администратора) бюджетных средств вправе принять решение о направлении материалов в соответствующий </w:t>
      </w:r>
      <w:r w:rsidRPr="00035B80">
        <w:rPr>
          <w:rFonts w:ascii="Times New Roman" w:hAnsi="Times New Roman" w:cs="Times New Roman"/>
          <w:sz w:val="24"/>
          <w:szCs w:val="24"/>
          <w:u w:val="single"/>
        </w:rPr>
        <w:t>орган государственного (муниципального) финансового контроля</w:t>
      </w:r>
      <w:r w:rsidRPr="00035B80">
        <w:rPr>
          <w:rFonts w:ascii="Times New Roman" w:hAnsi="Times New Roman" w:cs="Times New Roman"/>
          <w:sz w:val="24"/>
          <w:szCs w:val="24"/>
        </w:rPr>
        <w:t xml:space="preserve"> и (или) правоохранительные органы в случае наличия признаков коррупционного проявления, </w:t>
      </w:r>
      <w:r w:rsidRPr="00035B80">
        <w:rPr>
          <w:rFonts w:ascii="Times New Roman" w:hAnsi="Times New Roman" w:cs="Times New Roman"/>
          <w:sz w:val="24"/>
          <w:szCs w:val="24"/>
          <w:u w:val="single"/>
        </w:rPr>
        <w:t>нарушений бюджетного законодательства Российской Федерации,</w:t>
      </w:r>
      <w:r w:rsidRPr="00035B80">
        <w:rPr>
          <w:rFonts w:ascii="Times New Roman" w:hAnsi="Times New Roman" w:cs="Times New Roman"/>
          <w:sz w:val="24"/>
          <w:szCs w:val="24"/>
        </w:rPr>
        <w:t xml:space="preserve"> </w:t>
      </w:r>
      <w:r w:rsidRPr="00035B80">
        <w:rPr>
          <w:rFonts w:ascii="Times New Roman" w:hAnsi="Times New Roman" w:cs="Times New Roman"/>
          <w:sz w:val="24"/>
          <w:szCs w:val="24"/>
          <w:u w:val="single"/>
        </w:rPr>
        <w:t>в отношении которых отсутствует возможность их устранения и (или) применяется административная</w:t>
      </w:r>
      <w:r w:rsidRPr="00035B80">
        <w:rPr>
          <w:rFonts w:ascii="Times New Roman" w:hAnsi="Times New Roman" w:cs="Times New Roman"/>
          <w:sz w:val="24"/>
          <w:szCs w:val="24"/>
        </w:rPr>
        <w:t xml:space="preserve"> (уголовная) </w:t>
      </w:r>
      <w:r w:rsidRPr="00035B80">
        <w:rPr>
          <w:rFonts w:ascii="Times New Roman" w:hAnsi="Times New Roman" w:cs="Times New Roman"/>
          <w:sz w:val="24"/>
          <w:szCs w:val="24"/>
          <w:u w:val="single"/>
        </w:rPr>
        <w:t>ответственность</w:t>
      </w:r>
      <w:r w:rsidRPr="00035B80">
        <w:rPr>
          <w:rFonts w:ascii="Times New Roman" w:hAnsi="Times New Roman" w:cs="Times New Roman"/>
          <w:sz w:val="24"/>
          <w:szCs w:val="24"/>
        </w:rPr>
        <w:t xml:space="preserve"> (п.53 Методических </w:t>
      </w:r>
      <w:hyperlink w:anchor="P24" w:history="1">
        <w:r w:rsidRPr="00035B80">
          <w:rPr>
            <w:rFonts w:ascii="Times New Roman" w:hAnsi="Times New Roman" w:cs="Times New Roman"/>
            <w:sz w:val="24"/>
            <w:szCs w:val="24"/>
          </w:rPr>
          <w:t>рекомендаци</w:t>
        </w:r>
      </w:hyperlink>
      <w:r w:rsidRPr="00035B80">
        <w:rPr>
          <w:rFonts w:ascii="Times New Roman" w:hAnsi="Times New Roman" w:cs="Times New Roman"/>
          <w:sz w:val="24"/>
          <w:szCs w:val="24"/>
        </w:rPr>
        <w:t>й).</w:t>
      </w:r>
    </w:p>
    <w:p w:rsidR="00B36094" w:rsidRPr="00035B80" w:rsidRDefault="00B36094" w:rsidP="00B36094">
      <w:pPr>
        <w:autoSpaceDE w:val="0"/>
        <w:autoSpaceDN w:val="0"/>
        <w:adjustRightInd w:val="0"/>
        <w:spacing w:after="0" w:line="240" w:lineRule="auto"/>
        <w:ind w:firstLine="709"/>
        <w:jc w:val="both"/>
        <w:rPr>
          <w:rFonts w:ascii="Times New Roman" w:hAnsi="Times New Roman" w:cs="Times New Roman"/>
          <w:sz w:val="24"/>
          <w:szCs w:val="24"/>
        </w:rPr>
      </w:pPr>
      <w:r w:rsidRPr="00035B80">
        <w:rPr>
          <w:rFonts w:ascii="Times New Roman" w:hAnsi="Times New Roman" w:cs="Times New Roman"/>
          <w:sz w:val="24"/>
          <w:szCs w:val="24"/>
        </w:rPr>
        <w:t xml:space="preserve">Принимая во внимание, что в соответствии со статьей 165 Бюджетного кодекса Российской Федерации Министерство финансов Российской Федерации обладает полномочиями по осуществлению методического обеспечения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контрольно-счетная палата Амурской области </w:t>
      </w:r>
      <w:r w:rsidRPr="00B269A3">
        <w:rPr>
          <w:rFonts w:ascii="Times New Roman" w:hAnsi="Times New Roman" w:cs="Times New Roman"/>
          <w:sz w:val="24"/>
          <w:szCs w:val="24"/>
        </w:rPr>
        <w:t xml:space="preserve">считает целесообразным </w:t>
      </w:r>
      <w:r w:rsidR="00B269A3" w:rsidRPr="00B269A3">
        <w:rPr>
          <w:rFonts w:ascii="Times New Roman" w:hAnsi="Times New Roman" w:cs="Times New Roman"/>
          <w:sz w:val="24"/>
          <w:szCs w:val="24"/>
        </w:rPr>
        <w:t xml:space="preserve">вернуться к рассмотрению вопроса о </w:t>
      </w:r>
      <w:r w:rsidRPr="00B269A3">
        <w:rPr>
          <w:rFonts w:ascii="Times New Roman" w:hAnsi="Times New Roman" w:cs="Times New Roman"/>
          <w:sz w:val="24"/>
          <w:szCs w:val="24"/>
        </w:rPr>
        <w:t>внесени</w:t>
      </w:r>
      <w:r w:rsidR="00B269A3" w:rsidRPr="00B269A3">
        <w:rPr>
          <w:rFonts w:ascii="Times New Roman" w:hAnsi="Times New Roman" w:cs="Times New Roman"/>
          <w:sz w:val="24"/>
          <w:szCs w:val="24"/>
        </w:rPr>
        <w:t>и</w:t>
      </w:r>
      <w:r w:rsidRPr="00B269A3">
        <w:rPr>
          <w:rFonts w:ascii="Times New Roman" w:hAnsi="Times New Roman" w:cs="Times New Roman"/>
          <w:sz w:val="24"/>
          <w:szCs w:val="24"/>
        </w:rPr>
        <w:t xml:space="preserve"> изменений в </w:t>
      </w:r>
      <w:hyperlink r:id="rId57" w:history="1">
        <w:r w:rsidRPr="00B269A3">
          <w:rPr>
            <w:rFonts w:ascii="Times New Roman" w:eastAsia="Times New Roman" w:hAnsi="Times New Roman" w:cs="Times New Roman"/>
            <w:sz w:val="24"/>
            <w:szCs w:val="24"/>
            <w:lang w:eastAsia="ru-RU"/>
          </w:rPr>
          <w:t>Порядок</w:t>
        </w:r>
      </w:hyperlink>
      <w:r w:rsidRPr="00035B80">
        <w:rPr>
          <w:rFonts w:ascii="Times New Roman" w:eastAsia="Times New Roman" w:hAnsi="Times New Roman" w:cs="Times New Roman"/>
          <w:sz w:val="24"/>
          <w:szCs w:val="24"/>
          <w:lang w:eastAsia="ru-RU"/>
        </w:rPr>
        <w:t xml:space="preserve"> осуществления </w:t>
      </w:r>
      <w:r w:rsidRPr="00035B80">
        <w:rPr>
          <w:rFonts w:ascii="Times New Roman" w:hAnsi="Times New Roman" w:cs="Times New Roman"/>
          <w:sz w:val="24"/>
          <w:szCs w:val="24"/>
        </w:rPr>
        <w:t>внутреннего финансового контроля и внутреннего финансового аудита.</w:t>
      </w:r>
    </w:p>
    <w:p w:rsidR="00B36094" w:rsidRPr="00FF6C6B" w:rsidRDefault="00B36094" w:rsidP="00B36094">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035B80">
        <w:rPr>
          <w:rFonts w:ascii="Times New Roman" w:hAnsi="Times New Roman" w:cs="Times New Roman"/>
          <w:sz w:val="24"/>
          <w:szCs w:val="24"/>
        </w:rPr>
        <w:t>Учитывая, что в соответствии со статьей 157 Бюджетного кодекса Российской Федерации контрольно-счетные органы субъектов Российской Федерации осуществляют бюджетные полномочия по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Pr="00FF6C6B">
        <w:rPr>
          <w:rFonts w:ascii="Times New Roman" w:hAnsi="Times New Roman" w:cs="Times New Roman"/>
          <w:sz w:val="24"/>
          <w:szCs w:val="24"/>
        </w:rPr>
        <w:t>, контрольно-счетной палатой Амурской области проведен анализ представленной по запросу палаты информации об осуществлении в 201</w:t>
      </w:r>
      <w:r>
        <w:rPr>
          <w:rFonts w:ascii="Times New Roman" w:hAnsi="Times New Roman" w:cs="Times New Roman"/>
          <w:sz w:val="24"/>
          <w:szCs w:val="24"/>
        </w:rPr>
        <w:t>7</w:t>
      </w:r>
      <w:r w:rsidRPr="00FF6C6B">
        <w:rPr>
          <w:rFonts w:ascii="Times New Roman" w:hAnsi="Times New Roman" w:cs="Times New Roman"/>
          <w:sz w:val="24"/>
          <w:szCs w:val="24"/>
        </w:rPr>
        <w:t xml:space="preserve"> году внутреннего финансового контроля и внутреннего финансового аудита главными распорядителями средств областного бюджета, имеющими подведомственную сеть и осуществляющими исполнение расходов областного бюджета в части межбюджетных трансфертов, а также предусмотренной Порядк</w:t>
      </w:r>
      <w:r>
        <w:rPr>
          <w:rFonts w:ascii="Times New Roman" w:hAnsi="Times New Roman" w:cs="Times New Roman"/>
          <w:sz w:val="24"/>
          <w:szCs w:val="24"/>
        </w:rPr>
        <w:t>ом</w:t>
      </w:r>
      <w:r w:rsidRPr="00FF6C6B">
        <w:rPr>
          <w:rFonts w:ascii="Times New Roman" w:hAnsi="Times New Roman" w:cs="Times New Roman"/>
          <w:sz w:val="24"/>
          <w:szCs w:val="24"/>
        </w:rPr>
        <w:t xml:space="preserve"> осуществления внутреннего финансового контроля и внутреннего финансового аудита, утвержденного </w:t>
      </w:r>
      <w:hyperlink r:id="rId58" w:history="1">
        <w:r w:rsidRPr="00FF6C6B">
          <w:rPr>
            <w:rFonts w:ascii="Times New Roman" w:hAnsi="Times New Roman" w:cs="Times New Roman"/>
            <w:iCs/>
            <w:sz w:val="24"/>
            <w:szCs w:val="24"/>
          </w:rPr>
          <w:t xml:space="preserve">Постановлением Правительства Амурской области от 30.06.2011 № 439 </w:t>
        </w:r>
      </w:hyperlink>
      <w:r w:rsidRPr="00FF6C6B">
        <w:rPr>
          <w:rFonts w:ascii="Times New Roman" w:hAnsi="Times New Roman" w:cs="Times New Roman"/>
          <w:sz w:val="24"/>
          <w:szCs w:val="24"/>
        </w:rPr>
        <w:t>«Информации о результатах мероприятий внутреннего финансового контроля за 201</w:t>
      </w:r>
      <w:r>
        <w:rPr>
          <w:rFonts w:ascii="Times New Roman" w:hAnsi="Times New Roman" w:cs="Times New Roman"/>
          <w:sz w:val="24"/>
          <w:szCs w:val="24"/>
        </w:rPr>
        <w:t>7</w:t>
      </w:r>
      <w:r w:rsidRPr="00FF6C6B">
        <w:rPr>
          <w:rFonts w:ascii="Times New Roman" w:hAnsi="Times New Roman" w:cs="Times New Roman"/>
          <w:sz w:val="24"/>
          <w:szCs w:val="24"/>
        </w:rPr>
        <w:t xml:space="preserve"> год», представленной главными распорядителями средств областного бюджета в адрес министерства финансов Амурской области</w:t>
      </w:r>
      <w:r>
        <w:rPr>
          <w:rFonts w:ascii="Times New Roman" w:hAnsi="Times New Roman" w:cs="Times New Roman"/>
          <w:sz w:val="24"/>
          <w:szCs w:val="24"/>
        </w:rPr>
        <w:t>. П</w:t>
      </w:r>
      <w:r w:rsidRPr="00FF6C6B">
        <w:rPr>
          <w:rFonts w:ascii="Times New Roman" w:hAnsi="Times New Roman" w:cs="Times New Roman"/>
          <w:sz w:val="24"/>
          <w:szCs w:val="24"/>
        </w:rPr>
        <w:t xml:space="preserve">о результатам </w:t>
      </w:r>
      <w:r>
        <w:rPr>
          <w:rFonts w:ascii="Times New Roman" w:hAnsi="Times New Roman" w:cs="Times New Roman"/>
          <w:sz w:val="24"/>
          <w:szCs w:val="24"/>
        </w:rPr>
        <w:t>проведенн</w:t>
      </w:r>
      <w:r w:rsidRPr="00FF6C6B">
        <w:rPr>
          <w:rFonts w:ascii="Times New Roman" w:hAnsi="Times New Roman" w:cs="Times New Roman"/>
          <w:sz w:val="24"/>
          <w:szCs w:val="24"/>
        </w:rPr>
        <w:t xml:space="preserve">ого </w:t>
      </w:r>
      <w:r>
        <w:rPr>
          <w:rFonts w:ascii="Times New Roman" w:hAnsi="Times New Roman" w:cs="Times New Roman"/>
          <w:sz w:val="24"/>
          <w:szCs w:val="24"/>
        </w:rPr>
        <w:t xml:space="preserve">анализа </w:t>
      </w:r>
      <w:r w:rsidR="004C3485">
        <w:rPr>
          <w:rFonts w:ascii="Times New Roman" w:hAnsi="Times New Roman" w:cs="Times New Roman"/>
          <w:sz w:val="24"/>
          <w:szCs w:val="24"/>
        </w:rPr>
        <w:t>установлено следующее.</w:t>
      </w:r>
    </w:p>
    <w:p w:rsidR="00B36094" w:rsidRPr="004C0773"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FF5B29">
        <w:rPr>
          <w:rFonts w:ascii="Times New Roman" w:eastAsia="Times New Roman" w:hAnsi="Times New Roman" w:cs="Times New Roman"/>
          <w:b/>
          <w:sz w:val="24"/>
          <w:szCs w:val="24"/>
          <w:lang w:eastAsia="ru-RU"/>
        </w:rPr>
        <w:t>Министерством здравоохранения</w:t>
      </w:r>
      <w:r w:rsidRPr="00FF5B29">
        <w:rPr>
          <w:rFonts w:ascii="Times New Roman" w:eastAsia="Times New Roman" w:hAnsi="Times New Roman" w:cs="Times New Roman"/>
          <w:sz w:val="24"/>
          <w:szCs w:val="24"/>
          <w:lang w:eastAsia="ru-RU"/>
        </w:rPr>
        <w:t xml:space="preserve"> Амурской области при наличии </w:t>
      </w:r>
      <w:r>
        <w:rPr>
          <w:rFonts w:ascii="Times New Roman" w:eastAsia="Times New Roman" w:hAnsi="Times New Roman" w:cs="Times New Roman"/>
          <w:sz w:val="24"/>
          <w:szCs w:val="24"/>
          <w:lang w:eastAsia="ru-RU"/>
        </w:rPr>
        <w:br/>
        <w:t>51</w:t>
      </w:r>
      <w:r w:rsidRPr="00FF5B29">
        <w:rPr>
          <w:rFonts w:ascii="Times New Roman" w:eastAsia="Times New Roman" w:hAnsi="Times New Roman" w:cs="Times New Roman"/>
          <w:sz w:val="24"/>
          <w:szCs w:val="24"/>
          <w:lang w:eastAsia="ru-RU"/>
        </w:rPr>
        <w:t xml:space="preserve"> подведомственн</w:t>
      </w:r>
      <w:r>
        <w:rPr>
          <w:rFonts w:ascii="Times New Roman" w:eastAsia="Times New Roman" w:hAnsi="Times New Roman" w:cs="Times New Roman"/>
          <w:sz w:val="24"/>
          <w:szCs w:val="24"/>
          <w:lang w:eastAsia="ru-RU"/>
        </w:rPr>
        <w:t>ого</w:t>
      </w:r>
      <w:r w:rsidRPr="00FF5B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FF5B29">
        <w:rPr>
          <w:rFonts w:ascii="Times New Roman" w:eastAsia="Times New Roman" w:hAnsi="Times New Roman" w:cs="Times New Roman"/>
          <w:sz w:val="24"/>
          <w:szCs w:val="24"/>
          <w:lang w:eastAsia="ru-RU"/>
        </w:rPr>
        <w:t xml:space="preserve"> с объемом финансирования в 201</w:t>
      </w:r>
      <w:r>
        <w:rPr>
          <w:rFonts w:ascii="Times New Roman" w:eastAsia="Times New Roman" w:hAnsi="Times New Roman" w:cs="Times New Roman"/>
          <w:sz w:val="24"/>
          <w:szCs w:val="24"/>
          <w:lang w:eastAsia="ru-RU"/>
        </w:rPr>
        <w:t>7</w:t>
      </w:r>
      <w:r w:rsidRPr="00FF5B29">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2290354,5</w:t>
      </w:r>
      <w:r w:rsidRPr="00FF5B29">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 xml:space="preserve">и объемом </w:t>
      </w:r>
      <w:r w:rsidRPr="00107640">
        <w:rPr>
          <w:rFonts w:ascii="Times New Roman" w:eastAsia="Times New Roman" w:hAnsi="Times New Roman" w:cs="Times New Roman"/>
          <w:sz w:val="24"/>
          <w:szCs w:val="24"/>
          <w:lang w:eastAsia="ru-RU"/>
        </w:rPr>
        <w:t xml:space="preserve">выделенных </w:t>
      </w:r>
      <w:r>
        <w:rPr>
          <w:rFonts w:ascii="Times New Roman" w:eastAsia="Times New Roman" w:hAnsi="Times New Roman" w:cs="Times New Roman"/>
          <w:sz w:val="24"/>
          <w:szCs w:val="24"/>
          <w:lang w:eastAsia="ru-RU"/>
        </w:rPr>
        <w:t>межбюджетных трансфертов</w:t>
      </w:r>
      <w:r w:rsidRPr="00107640">
        <w:rPr>
          <w:rFonts w:ascii="Times New Roman" w:eastAsia="Times New Roman" w:hAnsi="Times New Roman" w:cs="Times New Roman"/>
          <w:sz w:val="24"/>
          <w:szCs w:val="24"/>
          <w:lang w:eastAsia="ru-RU"/>
        </w:rPr>
        <w:t xml:space="preserve"> в размере </w:t>
      </w:r>
      <w:r>
        <w:rPr>
          <w:rFonts w:ascii="Times New Roman" w:eastAsia="Times New Roman" w:hAnsi="Times New Roman" w:cs="Times New Roman"/>
          <w:sz w:val="24"/>
          <w:szCs w:val="24"/>
          <w:lang w:eastAsia="ru-RU"/>
        </w:rPr>
        <w:t>15930</w:t>
      </w:r>
      <w:r w:rsidRPr="00107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07640">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w:t>
      </w:r>
      <w:r w:rsidRPr="00FF5B29">
        <w:rPr>
          <w:rFonts w:ascii="Times New Roman" w:eastAsia="Times New Roman" w:hAnsi="Times New Roman" w:cs="Times New Roman"/>
          <w:sz w:val="24"/>
          <w:szCs w:val="24"/>
          <w:lang w:eastAsia="ru-RU"/>
        </w:rPr>
        <w:t>проведен</w:t>
      </w:r>
      <w:r>
        <w:rPr>
          <w:rFonts w:ascii="Times New Roman" w:eastAsia="Times New Roman" w:hAnsi="Times New Roman" w:cs="Times New Roman"/>
          <w:sz w:val="24"/>
          <w:szCs w:val="24"/>
          <w:lang w:eastAsia="ru-RU"/>
        </w:rPr>
        <w:t>о</w:t>
      </w:r>
      <w:r w:rsidRPr="00FF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Pr="00FF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контрольных мероприятий (</w:t>
      </w:r>
      <w:r w:rsidRPr="00FF5B29">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 xml:space="preserve">5, 2016 </w:t>
      </w:r>
      <w:r w:rsidRPr="00FF5B29">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ах –</w:t>
      </w:r>
      <w:r w:rsidRPr="00FF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19)</w:t>
      </w:r>
      <w:r w:rsidRPr="00FF5B29">
        <w:rPr>
          <w:rFonts w:ascii="Times New Roman" w:eastAsia="Times New Roman" w:hAnsi="Times New Roman" w:cs="Times New Roman"/>
          <w:sz w:val="24"/>
          <w:szCs w:val="24"/>
          <w:lang w:eastAsia="ru-RU"/>
        </w:rPr>
        <w:t>, охвачен</w:t>
      </w:r>
      <w:r>
        <w:rPr>
          <w:rFonts w:ascii="Times New Roman" w:eastAsia="Times New Roman" w:hAnsi="Times New Roman" w:cs="Times New Roman"/>
          <w:sz w:val="24"/>
          <w:szCs w:val="24"/>
          <w:lang w:eastAsia="ru-RU"/>
        </w:rPr>
        <w:t xml:space="preserve">о проверками </w:t>
      </w:r>
      <w:r>
        <w:rPr>
          <w:rFonts w:ascii="Times New Roman" w:eastAsia="Times New Roman" w:hAnsi="Times New Roman" w:cs="Times New Roman"/>
          <w:sz w:val="24"/>
          <w:szCs w:val="24"/>
          <w:lang w:eastAsia="ru-RU"/>
        </w:rPr>
        <w:br/>
        <w:t>10</w:t>
      </w:r>
      <w:r w:rsidRPr="00FF5B29">
        <w:rPr>
          <w:rFonts w:ascii="Times New Roman" w:eastAsia="Times New Roman" w:hAnsi="Times New Roman" w:cs="Times New Roman"/>
          <w:sz w:val="24"/>
          <w:szCs w:val="24"/>
          <w:lang w:eastAsia="ru-RU"/>
        </w:rPr>
        <w:t xml:space="preserve"> подведомственны</w:t>
      </w:r>
      <w:r>
        <w:rPr>
          <w:rFonts w:ascii="Times New Roman" w:eastAsia="Times New Roman" w:hAnsi="Times New Roman" w:cs="Times New Roman"/>
          <w:sz w:val="24"/>
          <w:szCs w:val="24"/>
          <w:lang w:eastAsia="ru-RU"/>
        </w:rPr>
        <w:t>х</w:t>
      </w:r>
      <w:r w:rsidRPr="00FF5B29">
        <w:rPr>
          <w:rFonts w:ascii="Times New Roman" w:eastAsia="Times New Roman" w:hAnsi="Times New Roman" w:cs="Times New Roman"/>
          <w:sz w:val="24"/>
          <w:szCs w:val="24"/>
          <w:lang w:eastAsia="ru-RU"/>
        </w:rPr>
        <w:t xml:space="preserve"> получател</w:t>
      </w:r>
      <w:r>
        <w:rPr>
          <w:rFonts w:ascii="Times New Roman" w:eastAsia="Times New Roman" w:hAnsi="Times New Roman" w:cs="Times New Roman"/>
          <w:sz w:val="24"/>
          <w:szCs w:val="24"/>
          <w:lang w:eastAsia="ru-RU"/>
        </w:rPr>
        <w:t>ей</w:t>
      </w:r>
      <w:r w:rsidRPr="00FF5B29">
        <w:rPr>
          <w:rFonts w:ascii="Times New Roman" w:eastAsia="Times New Roman" w:hAnsi="Times New Roman" w:cs="Times New Roman"/>
          <w:sz w:val="24"/>
          <w:szCs w:val="24"/>
          <w:lang w:eastAsia="ru-RU"/>
        </w:rPr>
        <w:t xml:space="preserve"> средств областного бюджета и </w:t>
      </w:r>
      <w:r>
        <w:rPr>
          <w:rFonts w:ascii="Times New Roman" w:eastAsia="Times New Roman" w:hAnsi="Times New Roman" w:cs="Times New Roman"/>
          <w:sz w:val="24"/>
          <w:szCs w:val="24"/>
          <w:lang w:eastAsia="ru-RU"/>
        </w:rPr>
        <w:t xml:space="preserve">9 органов местного </w:t>
      </w:r>
      <w:r>
        <w:rPr>
          <w:rFonts w:ascii="Times New Roman" w:eastAsia="Times New Roman" w:hAnsi="Times New Roman" w:cs="Times New Roman"/>
          <w:sz w:val="24"/>
          <w:szCs w:val="24"/>
          <w:lang w:eastAsia="ru-RU"/>
        </w:rPr>
        <w:lastRenderedPageBreak/>
        <w:t xml:space="preserve">самоуправления - </w:t>
      </w:r>
      <w:r w:rsidRPr="00FF5B29">
        <w:rPr>
          <w:rFonts w:ascii="Times New Roman" w:eastAsia="Times New Roman" w:hAnsi="Times New Roman" w:cs="Times New Roman"/>
          <w:sz w:val="24"/>
          <w:szCs w:val="24"/>
          <w:lang w:eastAsia="ru-RU"/>
        </w:rPr>
        <w:t>получател</w:t>
      </w:r>
      <w:r>
        <w:rPr>
          <w:rFonts w:ascii="Times New Roman" w:eastAsia="Times New Roman" w:hAnsi="Times New Roman" w:cs="Times New Roman"/>
          <w:sz w:val="24"/>
          <w:szCs w:val="24"/>
          <w:lang w:eastAsia="ru-RU"/>
        </w:rPr>
        <w:t>ей</w:t>
      </w:r>
      <w:r w:rsidRPr="00FF5B29">
        <w:rPr>
          <w:rFonts w:ascii="Times New Roman" w:eastAsia="Times New Roman" w:hAnsi="Times New Roman" w:cs="Times New Roman"/>
          <w:sz w:val="24"/>
          <w:szCs w:val="24"/>
          <w:lang w:eastAsia="ru-RU"/>
        </w:rPr>
        <w:t xml:space="preserve"> средств </w:t>
      </w:r>
      <w:r>
        <w:rPr>
          <w:rFonts w:ascii="Times New Roman" w:eastAsia="Times New Roman" w:hAnsi="Times New Roman" w:cs="Times New Roman"/>
          <w:sz w:val="24"/>
          <w:szCs w:val="24"/>
          <w:lang w:eastAsia="ru-RU"/>
        </w:rPr>
        <w:t>межбюджетных трансфертов</w:t>
      </w:r>
      <w:r w:rsidRPr="00FF5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представленной информации в 2017 году в 7 подведомственных учреждениях проведены проверки целевого и эффективного расходования средств областного бюджета и средств от приносящей доход деятельности, в 2 учреждениях - тематические проверки в отношении целевого и эффективного расходования средств от приносящей доход деятельности, </w:t>
      </w:r>
      <w:r>
        <w:rPr>
          <w:rFonts w:ascii="Times New Roman" w:eastAsia="Times New Roman" w:hAnsi="Times New Roman" w:cs="Times New Roman"/>
          <w:sz w:val="24"/>
          <w:szCs w:val="24"/>
          <w:lang w:eastAsia="ru-RU"/>
        </w:rPr>
        <w:br/>
        <w:t xml:space="preserve">в 1 учреждении – тематическая проверка по результатам выявленных нарушений контрольно-счетной палатой области, в 9 муниципальных образованиях области – тематические проверки целевого и эффективного расходования средств субвенций. Проверками в 2017 году охвачено 26,8 процента </w:t>
      </w:r>
      <w:r w:rsidRPr="00FF6C6B">
        <w:rPr>
          <w:rFonts w:ascii="Times New Roman" w:eastAsia="Times New Roman" w:hAnsi="Times New Roman" w:cs="Times New Roman"/>
          <w:sz w:val="24"/>
          <w:szCs w:val="24"/>
          <w:lang w:eastAsia="ru-RU"/>
        </w:rPr>
        <w:t xml:space="preserve">объема финансирования подведомственных учреждений и </w:t>
      </w:r>
      <w:r w:rsidRPr="004C0773">
        <w:rPr>
          <w:rFonts w:ascii="Times New Roman" w:eastAsia="Times New Roman" w:hAnsi="Times New Roman" w:cs="Times New Roman"/>
          <w:sz w:val="24"/>
          <w:szCs w:val="24"/>
          <w:lang w:eastAsia="ru-RU"/>
        </w:rPr>
        <w:t xml:space="preserve">37,6 процента объема межбюджетных трансфертов (в 2015 году - 12,7 и </w:t>
      </w:r>
      <w:r w:rsidRPr="004C0773">
        <w:rPr>
          <w:rFonts w:ascii="Times New Roman" w:eastAsia="Times New Roman" w:hAnsi="Times New Roman" w:cs="Times New Roman"/>
          <w:sz w:val="24"/>
          <w:szCs w:val="24"/>
          <w:lang w:eastAsia="ru-RU"/>
        </w:rPr>
        <w:br/>
        <w:t xml:space="preserve">0,1 процента, в 2016 году – 25,8 </w:t>
      </w:r>
      <w:r w:rsidR="004C3485">
        <w:rPr>
          <w:rFonts w:ascii="Times New Roman" w:eastAsia="Times New Roman" w:hAnsi="Times New Roman" w:cs="Times New Roman"/>
          <w:sz w:val="24"/>
          <w:szCs w:val="24"/>
          <w:lang w:eastAsia="ru-RU"/>
        </w:rPr>
        <w:t>и 0,2 процента соответственно).</w:t>
      </w:r>
    </w:p>
    <w:p w:rsidR="00B36094" w:rsidRPr="004C0773"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4C0773">
        <w:rPr>
          <w:rFonts w:ascii="Times New Roman" w:eastAsia="Times New Roman" w:hAnsi="Times New Roman" w:cs="Times New Roman"/>
          <w:sz w:val="24"/>
          <w:szCs w:val="24"/>
          <w:lang w:eastAsia="ru-RU"/>
        </w:rPr>
        <w:t xml:space="preserve">Ведомственными проверками установлено финансовых нарушений на сумму </w:t>
      </w:r>
      <w:r w:rsidRPr="004C0773">
        <w:rPr>
          <w:rFonts w:ascii="Times New Roman" w:eastAsia="Times New Roman" w:hAnsi="Times New Roman" w:cs="Times New Roman"/>
          <w:sz w:val="24"/>
          <w:szCs w:val="24"/>
          <w:lang w:eastAsia="ru-RU"/>
        </w:rPr>
        <w:br/>
        <w:t xml:space="preserve">24978,6 тыс. рублей (в 2015 году - 37506,2 тыс. рублей, в 2016 году - 37850,7 тыс. рублей), по результатам принятых мер устранено финансовых нарушений 1192,9 тыс. рублей, или </w:t>
      </w:r>
      <w:r w:rsidRPr="004C0773">
        <w:rPr>
          <w:rFonts w:ascii="Times New Roman" w:eastAsia="Times New Roman" w:hAnsi="Times New Roman" w:cs="Times New Roman"/>
          <w:sz w:val="24"/>
          <w:szCs w:val="24"/>
          <w:lang w:eastAsia="ru-RU"/>
        </w:rPr>
        <w:br/>
        <w:t xml:space="preserve">4,8 процента от установленных (в 2015 году - 2813,8 тыс. рублей, или 7,5 процента, </w:t>
      </w:r>
      <w:r w:rsidRPr="004C0773">
        <w:rPr>
          <w:rFonts w:ascii="Times New Roman" w:eastAsia="Times New Roman" w:hAnsi="Times New Roman" w:cs="Times New Roman"/>
          <w:sz w:val="24"/>
          <w:szCs w:val="24"/>
          <w:lang w:eastAsia="ru-RU"/>
        </w:rPr>
        <w:br/>
        <w:t xml:space="preserve">в 2016 - 1728,2 тыс. рублей, или 4,6 процента), из них возмещено в доход бюджета </w:t>
      </w:r>
      <w:r w:rsidRPr="004C0773">
        <w:rPr>
          <w:rFonts w:ascii="Times New Roman" w:eastAsia="Times New Roman" w:hAnsi="Times New Roman" w:cs="Times New Roman"/>
          <w:sz w:val="24"/>
          <w:szCs w:val="24"/>
          <w:lang w:eastAsia="ru-RU"/>
        </w:rPr>
        <w:br/>
        <w:t>1192,9 тыс. рублей (в 2015 году - 2813,8 тыс. рублей, в 2</w:t>
      </w:r>
      <w:r w:rsidR="004C3485">
        <w:rPr>
          <w:rFonts w:ascii="Times New Roman" w:eastAsia="Times New Roman" w:hAnsi="Times New Roman" w:cs="Times New Roman"/>
          <w:sz w:val="24"/>
          <w:szCs w:val="24"/>
          <w:lang w:eastAsia="ru-RU"/>
        </w:rPr>
        <w:t>016 году - 1728,2 тыс. рублей).</w:t>
      </w:r>
    </w:p>
    <w:p w:rsidR="00B36094" w:rsidRPr="00B269A3" w:rsidRDefault="00B36094" w:rsidP="00B36094">
      <w:pPr>
        <w:spacing w:after="0" w:line="240" w:lineRule="auto"/>
        <w:ind w:firstLine="709"/>
        <w:jc w:val="both"/>
        <w:rPr>
          <w:rFonts w:ascii="Times New Roman" w:hAnsi="Times New Roman" w:cs="Times New Roman"/>
          <w:sz w:val="24"/>
        </w:rPr>
      </w:pPr>
      <w:r w:rsidRPr="004C0773">
        <w:rPr>
          <w:rFonts w:ascii="Times New Roman" w:eastAsia="Times New Roman" w:hAnsi="Times New Roman" w:cs="Times New Roman"/>
          <w:sz w:val="24"/>
          <w:szCs w:val="24"/>
          <w:lang w:eastAsia="ru-RU"/>
        </w:rPr>
        <w:t xml:space="preserve">По установленным внутренним финансовым контролем министерства фактам </w:t>
      </w:r>
      <w:r w:rsidRPr="006130E9">
        <w:rPr>
          <w:rFonts w:ascii="Times New Roman" w:eastAsia="Times New Roman" w:hAnsi="Times New Roman" w:cs="Times New Roman"/>
          <w:sz w:val="24"/>
          <w:szCs w:val="24"/>
          <w:lang w:eastAsia="ru-RU"/>
        </w:rPr>
        <w:t xml:space="preserve">нецелевого </w:t>
      </w:r>
      <w:r w:rsidRPr="00B269A3">
        <w:rPr>
          <w:rFonts w:ascii="Times New Roman" w:eastAsia="Times New Roman" w:hAnsi="Times New Roman" w:cs="Times New Roman"/>
          <w:sz w:val="24"/>
          <w:szCs w:val="24"/>
          <w:lang w:eastAsia="ru-RU"/>
        </w:rPr>
        <w:t xml:space="preserve">использования бюджетных средств (1192,9 тыс. рублей), относящимся к бюджетному нарушению, за совершение которого </w:t>
      </w:r>
      <w:r w:rsidRPr="00B269A3">
        <w:rPr>
          <w:rFonts w:ascii="Times New Roman" w:hAnsi="Times New Roman" w:cs="Times New Roman"/>
          <w:sz w:val="24"/>
        </w:rPr>
        <w:t>применяются бюджетные меры принуждения, а также предусмотрена административная ответственность, министерством здравоохранения области материалы 3 контрольных мероприятий направлены в адрес министерства финансов области для рассмотрения вопроса о возбуждении дел об административном правонарушении. По результатам рассмотрения составлено 2 протокола об административных правонарушениях, материалы одной проверки находятся на рассмотрении.</w:t>
      </w:r>
    </w:p>
    <w:p w:rsidR="00B36094" w:rsidRPr="00B269A3" w:rsidRDefault="00B36094" w:rsidP="00B36094">
      <w:pPr>
        <w:pStyle w:val="ConsPlusNormal"/>
        <w:ind w:firstLine="709"/>
        <w:jc w:val="both"/>
        <w:rPr>
          <w:rFonts w:ascii="Times New Roman" w:hAnsi="Times New Roman" w:cs="Times New Roman"/>
          <w:sz w:val="24"/>
        </w:rPr>
      </w:pPr>
      <w:r w:rsidRPr="00B269A3">
        <w:rPr>
          <w:rFonts w:ascii="Times New Roman" w:hAnsi="Times New Roman" w:cs="Times New Roman"/>
          <w:sz w:val="24"/>
          <w:szCs w:val="24"/>
        </w:rPr>
        <w:t xml:space="preserve">Согласно представленной информации по отдельным подведомственным учреждениям проверки внутреннего финансового контроля не проводились в течение </w:t>
      </w:r>
      <w:r w:rsidRPr="00B269A3">
        <w:rPr>
          <w:rFonts w:ascii="Times New Roman" w:hAnsi="Times New Roman" w:cs="Times New Roman"/>
          <w:sz w:val="24"/>
          <w:szCs w:val="24"/>
        </w:rPr>
        <w:br/>
        <w:t>5-6 лет, в 2017 году не подготовлено ни одного заключения по результатам проведения внутреннего финансового аудита, вопросами которого в соответствии с «</w:t>
      </w:r>
      <w:hyperlink r:id="rId59" w:history="1">
        <w:r w:rsidRPr="00B269A3">
          <w:rPr>
            <w:rFonts w:ascii="Times New Roman" w:hAnsi="Times New Roman" w:cs="Times New Roman"/>
            <w:sz w:val="24"/>
            <w:szCs w:val="24"/>
          </w:rPr>
          <w:t>Порядк</w:t>
        </w:r>
      </w:hyperlink>
      <w:r w:rsidRPr="00B269A3">
        <w:rPr>
          <w:rFonts w:ascii="Times New Roman" w:hAnsi="Times New Roman" w:cs="Times New Roman"/>
          <w:sz w:val="24"/>
          <w:szCs w:val="24"/>
        </w:rPr>
        <w:t xml:space="preserve">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являются </w:t>
      </w:r>
      <w:r w:rsidRPr="00B269A3">
        <w:rPr>
          <w:rFonts w:ascii="Times New Roman" w:hAnsi="Times New Roman" w:cs="Times New Roman"/>
          <w:sz w:val="24"/>
        </w:rPr>
        <w:t>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Pr="00107640"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B269A3">
        <w:rPr>
          <w:rFonts w:ascii="Times New Roman" w:eastAsia="Times New Roman" w:hAnsi="Times New Roman" w:cs="Times New Roman"/>
          <w:sz w:val="24"/>
          <w:szCs w:val="24"/>
          <w:lang w:eastAsia="ru-RU"/>
        </w:rPr>
        <w:t xml:space="preserve">Численность специалистов, осуществляющих функции внутреннего финансового контроля </w:t>
      </w:r>
      <w:r w:rsidRPr="00B269A3">
        <w:rPr>
          <w:rFonts w:ascii="Times New Roman" w:hAnsi="Times New Roman" w:cs="Times New Roman"/>
          <w:sz w:val="24"/>
          <w:szCs w:val="24"/>
        </w:rPr>
        <w:t>и внутреннего финансового аудита</w:t>
      </w:r>
      <w:r w:rsidRPr="00B269A3">
        <w:rPr>
          <w:rFonts w:ascii="Times New Roman" w:eastAsia="Times New Roman" w:hAnsi="Times New Roman" w:cs="Times New Roman"/>
          <w:sz w:val="24"/>
          <w:szCs w:val="24"/>
          <w:lang w:eastAsia="ru-RU"/>
        </w:rPr>
        <w:t>, составляет</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w:t>
      </w:r>
      <w:r w:rsidRPr="00107640">
        <w:rPr>
          <w:rFonts w:ascii="Times New Roman" w:eastAsia="Times New Roman" w:hAnsi="Times New Roman" w:cs="Times New Roman"/>
          <w:sz w:val="24"/>
          <w:szCs w:val="24"/>
          <w:lang w:eastAsia="ru-RU"/>
        </w:rPr>
        <w:t xml:space="preserve"> штатн</w:t>
      </w:r>
      <w:r>
        <w:rPr>
          <w:rFonts w:ascii="Times New Roman" w:eastAsia="Times New Roman" w:hAnsi="Times New Roman" w:cs="Times New Roman"/>
          <w:sz w:val="24"/>
          <w:szCs w:val="24"/>
          <w:lang w:eastAsia="ru-RU"/>
        </w:rPr>
        <w:t>ые</w:t>
      </w:r>
      <w:r w:rsidRPr="00107640">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 фактически в 2017 году, как и в 2016 году, замещена одна единица, что</w:t>
      </w:r>
      <w:r w:rsidRPr="00107640">
        <w:rPr>
          <w:rFonts w:ascii="Times New Roman" w:eastAsia="Times New Roman" w:hAnsi="Times New Roman" w:cs="Times New Roman"/>
          <w:sz w:val="24"/>
          <w:szCs w:val="24"/>
          <w:lang w:eastAsia="ru-RU"/>
        </w:rPr>
        <w:t xml:space="preserve"> не позволяет обеспечить на должном уровне полномочия по </w:t>
      </w:r>
      <w:r>
        <w:rPr>
          <w:rFonts w:ascii="Times New Roman" w:eastAsia="Times New Roman" w:hAnsi="Times New Roman" w:cs="Times New Roman"/>
          <w:sz w:val="24"/>
          <w:szCs w:val="24"/>
          <w:lang w:eastAsia="ru-RU"/>
        </w:rPr>
        <w:t xml:space="preserve">осуществлению </w:t>
      </w:r>
      <w:r w:rsidRPr="00A04E7F">
        <w:rPr>
          <w:rFonts w:ascii="Times New Roman" w:hAnsi="Times New Roman" w:cs="Times New Roman"/>
          <w:sz w:val="24"/>
          <w:szCs w:val="24"/>
        </w:rPr>
        <w:t>внутренне</w:t>
      </w:r>
      <w:r>
        <w:rPr>
          <w:rFonts w:ascii="Times New Roman" w:hAnsi="Times New Roman" w:cs="Times New Roman"/>
          <w:sz w:val="24"/>
          <w:szCs w:val="24"/>
        </w:rPr>
        <w:t>го</w:t>
      </w:r>
      <w:r w:rsidRPr="00A04E7F">
        <w:rPr>
          <w:rFonts w:ascii="Times New Roman" w:hAnsi="Times New Roman" w:cs="Times New Roman"/>
          <w:sz w:val="24"/>
          <w:szCs w:val="24"/>
        </w:rPr>
        <w:t xml:space="preserve"> финансового контроля и внутреннего финансового аудита</w:t>
      </w:r>
      <w:r>
        <w:rPr>
          <w:rFonts w:ascii="Times New Roman" w:hAnsi="Times New Roman" w:cs="Times New Roman"/>
          <w:sz w:val="24"/>
          <w:szCs w:val="24"/>
        </w:rPr>
        <w:t>.</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Наличие вакантной должности в </w:t>
      </w:r>
      <w:r>
        <w:rPr>
          <w:rFonts w:ascii="Times New Roman" w:hAnsi="Times New Roman" w:cs="Times New Roman"/>
          <w:sz w:val="24"/>
          <w:szCs w:val="24"/>
        </w:rPr>
        <w:t xml:space="preserve">подразделении </w:t>
      </w:r>
      <w:r w:rsidRPr="00EE274A">
        <w:rPr>
          <w:rFonts w:ascii="Times New Roman" w:hAnsi="Times New Roman" w:cs="Times New Roman"/>
          <w:sz w:val="24"/>
          <w:szCs w:val="24"/>
        </w:rPr>
        <w:t>внутреннего финансового контроля и внутреннего финансового аудита</w:t>
      </w:r>
      <w:r>
        <w:rPr>
          <w:rFonts w:ascii="Times New Roman" w:eastAsia="Times New Roman" w:hAnsi="Times New Roman" w:cs="Times New Roman"/>
          <w:sz w:val="24"/>
          <w:szCs w:val="24"/>
          <w:lang w:eastAsia="ru-RU"/>
        </w:rPr>
        <w:t xml:space="preserve"> министерства, незначительный уровень охвата контрольными мероприятиями подведомственных учреждений</w:t>
      </w:r>
      <w:r w:rsidRPr="006E5F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отсутствие мероприятий, проводимых в рамках внутреннего финансового аудита, низкий процент устранения выявленных нарушений позволяют констатировать</w:t>
      </w:r>
      <w:r w:rsidRPr="006E5F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необходимость повышения уровня организации и осуществления </w:t>
      </w:r>
      <w:r w:rsidRPr="00A04E7F">
        <w:rPr>
          <w:rFonts w:ascii="Times New Roman" w:hAnsi="Times New Roman" w:cs="Times New Roman"/>
          <w:sz w:val="24"/>
          <w:szCs w:val="24"/>
        </w:rPr>
        <w:t>внутренне</w:t>
      </w:r>
      <w:r>
        <w:rPr>
          <w:rFonts w:ascii="Times New Roman" w:hAnsi="Times New Roman" w:cs="Times New Roman"/>
          <w:sz w:val="24"/>
          <w:szCs w:val="24"/>
        </w:rPr>
        <w:t>го</w:t>
      </w:r>
      <w:r w:rsidRPr="00A04E7F">
        <w:rPr>
          <w:rFonts w:ascii="Times New Roman" w:hAnsi="Times New Roman" w:cs="Times New Roman"/>
          <w:sz w:val="24"/>
          <w:szCs w:val="24"/>
        </w:rPr>
        <w:t xml:space="preserve"> финансового контроля и внутреннего финансового аудита</w:t>
      </w:r>
      <w:r>
        <w:rPr>
          <w:rFonts w:ascii="Times New Roman" w:hAnsi="Times New Roman" w:cs="Times New Roman"/>
          <w:sz w:val="24"/>
          <w:szCs w:val="24"/>
        </w:rPr>
        <w:t xml:space="preserve"> в министерстве здравоохранения Амурской области.</w:t>
      </w:r>
    </w:p>
    <w:p w:rsidR="00B36094" w:rsidRDefault="00B36094" w:rsidP="00B360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Pr="00107640">
        <w:rPr>
          <w:rFonts w:ascii="Times New Roman" w:eastAsia="Times New Roman" w:hAnsi="Times New Roman" w:cs="Times New Roman"/>
          <w:b/>
          <w:sz w:val="24"/>
          <w:szCs w:val="24"/>
          <w:lang w:eastAsia="ru-RU"/>
        </w:rPr>
        <w:t>инистерств</w:t>
      </w:r>
      <w:r>
        <w:rPr>
          <w:rFonts w:ascii="Times New Roman" w:eastAsia="Times New Roman" w:hAnsi="Times New Roman" w:cs="Times New Roman"/>
          <w:b/>
          <w:sz w:val="24"/>
          <w:szCs w:val="24"/>
          <w:lang w:eastAsia="ru-RU"/>
        </w:rPr>
        <w:t>ом</w:t>
      </w:r>
      <w:r w:rsidRPr="00107640">
        <w:rPr>
          <w:rFonts w:ascii="Times New Roman" w:eastAsia="Times New Roman" w:hAnsi="Times New Roman" w:cs="Times New Roman"/>
          <w:b/>
          <w:sz w:val="24"/>
          <w:szCs w:val="24"/>
          <w:lang w:eastAsia="ru-RU"/>
        </w:rPr>
        <w:t xml:space="preserve"> образования и науки</w:t>
      </w:r>
      <w:r w:rsidRPr="00107640">
        <w:rPr>
          <w:rFonts w:ascii="Times New Roman" w:eastAsia="Times New Roman" w:hAnsi="Times New Roman" w:cs="Times New Roman"/>
          <w:sz w:val="24"/>
          <w:szCs w:val="24"/>
          <w:lang w:eastAsia="ru-RU"/>
        </w:rPr>
        <w:t xml:space="preserve"> Амурской области</w:t>
      </w:r>
      <w:r>
        <w:rPr>
          <w:rFonts w:ascii="Times New Roman" w:eastAsia="Times New Roman" w:hAnsi="Times New Roman" w:cs="Times New Roman"/>
          <w:sz w:val="24"/>
          <w:szCs w:val="24"/>
          <w:lang w:eastAsia="ru-RU"/>
        </w:rPr>
        <w:t>,</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07640">
        <w:rPr>
          <w:rFonts w:ascii="Times New Roman" w:eastAsia="Times New Roman" w:hAnsi="Times New Roman" w:cs="Times New Roman"/>
          <w:sz w:val="24"/>
          <w:szCs w:val="24"/>
          <w:lang w:eastAsia="ru-RU"/>
        </w:rPr>
        <w:t xml:space="preserve">ри наличии </w:t>
      </w:r>
      <w:r>
        <w:rPr>
          <w:rFonts w:ascii="Times New Roman" w:eastAsia="Times New Roman" w:hAnsi="Times New Roman" w:cs="Times New Roman"/>
          <w:sz w:val="24"/>
          <w:szCs w:val="24"/>
          <w:lang w:eastAsia="ru-RU"/>
        </w:rPr>
        <w:br/>
        <w:t xml:space="preserve">22 </w:t>
      </w:r>
      <w:r w:rsidRPr="00107640">
        <w:rPr>
          <w:rFonts w:ascii="Times New Roman" w:eastAsia="Times New Roman" w:hAnsi="Times New Roman" w:cs="Times New Roman"/>
          <w:sz w:val="24"/>
          <w:szCs w:val="24"/>
          <w:lang w:eastAsia="ru-RU"/>
        </w:rPr>
        <w:t>подведомственн</w:t>
      </w:r>
      <w:r>
        <w:rPr>
          <w:rFonts w:ascii="Times New Roman" w:eastAsia="Times New Roman" w:hAnsi="Times New Roman" w:cs="Times New Roman"/>
          <w:sz w:val="24"/>
          <w:szCs w:val="24"/>
          <w:lang w:eastAsia="ru-RU"/>
        </w:rPr>
        <w:t>ых</w:t>
      </w:r>
      <w:r w:rsidRPr="00107640">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й</w:t>
      </w:r>
      <w:r w:rsidRPr="00107640">
        <w:rPr>
          <w:rFonts w:ascii="Times New Roman" w:eastAsia="Times New Roman" w:hAnsi="Times New Roman" w:cs="Times New Roman"/>
          <w:sz w:val="24"/>
          <w:szCs w:val="24"/>
          <w:lang w:eastAsia="ru-RU"/>
        </w:rPr>
        <w:t xml:space="preserve"> с объемом финансирования </w:t>
      </w:r>
      <w:r>
        <w:rPr>
          <w:rFonts w:ascii="Times New Roman" w:eastAsia="Times New Roman" w:hAnsi="Times New Roman" w:cs="Times New Roman"/>
          <w:sz w:val="24"/>
          <w:szCs w:val="24"/>
          <w:lang w:eastAsia="ru-RU"/>
        </w:rPr>
        <w:t>1501282,8</w:t>
      </w:r>
      <w:r w:rsidRPr="00107640">
        <w:rPr>
          <w:rFonts w:ascii="Times New Roman" w:eastAsia="Times New Roman" w:hAnsi="Times New Roman" w:cs="Times New Roman"/>
          <w:sz w:val="24"/>
          <w:szCs w:val="24"/>
          <w:lang w:eastAsia="ru-RU"/>
        </w:rPr>
        <w:t xml:space="preserve"> тыс. рублей и объем</w:t>
      </w:r>
      <w:r>
        <w:rPr>
          <w:rFonts w:ascii="Times New Roman" w:eastAsia="Times New Roman" w:hAnsi="Times New Roman" w:cs="Times New Roman"/>
          <w:sz w:val="24"/>
          <w:szCs w:val="24"/>
          <w:lang w:eastAsia="ru-RU"/>
        </w:rPr>
        <w:t xml:space="preserve">ом </w:t>
      </w:r>
      <w:r w:rsidRPr="00107640">
        <w:rPr>
          <w:rFonts w:ascii="Times New Roman" w:eastAsia="Times New Roman" w:hAnsi="Times New Roman" w:cs="Times New Roman"/>
          <w:sz w:val="24"/>
          <w:szCs w:val="24"/>
          <w:lang w:eastAsia="ru-RU"/>
        </w:rPr>
        <w:t xml:space="preserve">выделенных </w:t>
      </w:r>
      <w:r>
        <w:rPr>
          <w:rFonts w:ascii="Times New Roman" w:eastAsia="Times New Roman" w:hAnsi="Times New Roman" w:cs="Times New Roman"/>
          <w:sz w:val="24"/>
          <w:szCs w:val="24"/>
          <w:lang w:eastAsia="ru-RU"/>
        </w:rPr>
        <w:t>межбюджетных трансфертов</w:t>
      </w:r>
      <w:r w:rsidRPr="00107640">
        <w:rPr>
          <w:rFonts w:ascii="Times New Roman" w:eastAsia="Times New Roman" w:hAnsi="Times New Roman" w:cs="Times New Roman"/>
          <w:sz w:val="24"/>
          <w:szCs w:val="24"/>
          <w:lang w:eastAsia="ru-RU"/>
        </w:rPr>
        <w:t xml:space="preserve"> в размере </w:t>
      </w:r>
      <w:r>
        <w:rPr>
          <w:rFonts w:ascii="Times New Roman" w:eastAsia="Times New Roman" w:hAnsi="Times New Roman" w:cs="Times New Roman"/>
          <w:sz w:val="24"/>
          <w:szCs w:val="24"/>
          <w:lang w:eastAsia="ru-RU"/>
        </w:rPr>
        <w:t>6339705</w:t>
      </w:r>
      <w:r w:rsidRPr="00107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107640">
        <w:rPr>
          <w:rFonts w:ascii="Times New Roman" w:eastAsia="Times New Roman" w:hAnsi="Times New Roman" w:cs="Times New Roman"/>
          <w:sz w:val="24"/>
          <w:szCs w:val="24"/>
          <w:lang w:eastAsia="ru-RU"/>
        </w:rPr>
        <w:t xml:space="preserve"> тыс. рублей, </w:t>
      </w:r>
      <w:r w:rsidRPr="003B3F78">
        <w:rPr>
          <w:rFonts w:ascii="Times New Roman" w:eastAsia="Times New Roman" w:hAnsi="Times New Roman" w:cs="Times New Roman"/>
          <w:sz w:val="24"/>
          <w:szCs w:val="24"/>
          <w:lang w:eastAsia="ru-RU"/>
        </w:rPr>
        <w:t xml:space="preserve">расходах главного распорядителя на предоставление субсидий </w:t>
      </w:r>
      <w:r>
        <w:rPr>
          <w:rFonts w:ascii="Times New Roman" w:eastAsia="Times New Roman" w:hAnsi="Times New Roman" w:cs="Times New Roman"/>
          <w:sz w:val="24"/>
          <w:szCs w:val="24"/>
          <w:lang w:eastAsia="ru-RU"/>
        </w:rPr>
        <w:t xml:space="preserve">юридическим лицам – производителям товаров, работ, услуг в объеме 66283,6 тыс. рублей, в 2017 году </w:t>
      </w:r>
      <w:r w:rsidRPr="00107640">
        <w:rPr>
          <w:rFonts w:ascii="Times New Roman" w:eastAsia="Times New Roman" w:hAnsi="Times New Roman" w:cs="Times New Roman"/>
          <w:sz w:val="24"/>
          <w:szCs w:val="24"/>
          <w:lang w:eastAsia="ru-RU"/>
        </w:rPr>
        <w:t xml:space="preserve">проведено </w:t>
      </w:r>
      <w:r>
        <w:rPr>
          <w:rFonts w:ascii="Times New Roman" w:eastAsia="Times New Roman" w:hAnsi="Times New Roman" w:cs="Times New Roman"/>
          <w:sz w:val="24"/>
          <w:szCs w:val="24"/>
          <w:lang w:eastAsia="ru-RU"/>
        </w:rPr>
        <w:br/>
        <w:t>14</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контрольных мероприятий</w:t>
      </w:r>
      <w:r w:rsidRPr="00107640">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 xml:space="preserve">5 году – 23,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 году - 22</w:t>
      </w:r>
      <w:r w:rsidRPr="00107640">
        <w:rPr>
          <w:rFonts w:ascii="Times New Roman" w:eastAsia="Times New Roman" w:hAnsi="Times New Roman" w:cs="Times New Roman"/>
          <w:sz w:val="24"/>
          <w:szCs w:val="24"/>
          <w:lang w:eastAsia="ru-RU"/>
        </w:rPr>
        <w:t xml:space="preserve">), которыми охвачено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6 подведомственных</w:t>
      </w:r>
      <w:r w:rsidRPr="00107640">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й (в 2015 году -10,</w:t>
      </w:r>
      <w:r w:rsidRPr="008E36FE">
        <w:rPr>
          <w:rFonts w:ascii="Times New Roman" w:eastAsia="Times New Roman" w:hAnsi="Times New Roman" w:cs="Times New Roman"/>
          <w:sz w:val="24"/>
          <w:szCs w:val="24"/>
          <w:lang w:eastAsia="ru-RU"/>
        </w:rPr>
        <w:t xml:space="preserve">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 xml:space="preserve">6 году - 9), 3 органа местного самоуправления - </w:t>
      </w:r>
      <w:r w:rsidRPr="00FF5B29">
        <w:rPr>
          <w:rFonts w:ascii="Times New Roman" w:eastAsia="Times New Roman" w:hAnsi="Times New Roman" w:cs="Times New Roman"/>
          <w:sz w:val="24"/>
          <w:szCs w:val="24"/>
          <w:lang w:eastAsia="ru-RU"/>
        </w:rPr>
        <w:t>получател</w:t>
      </w:r>
      <w:r>
        <w:rPr>
          <w:rFonts w:ascii="Times New Roman" w:eastAsia="Times New Roman" w:hAnsi="Times New Roman" w:cs="Times New Roman"/>
          <w:sz w:val="24"/>
          <w:szCs w:val="24"/>
          <w:lang w:eastAsia="ru-RU"/>
        </w:rPr>
        <w:t>ей</w:t>
      </w:r>
      <w:r w:rsidRPr="00FF5B29">
        <w:rPr>
          <w:rFonts w:ascii="Times New Roman" w:eastAsia="Times New Roman" w:hAnsi="Times New Roman" w:cs="Times New Roman"/>
          <w:sz w:val="24"/>
          <w:szCs w:val="24"/>
          <w:lang w:eastAsia="ru-RU"/>
        </w:rPr>
        <w:t xml:space="preserve"> средств </w:t>
      </w:r>
      <w:r>
        <w:rPr>
          <w:rFonts w:ascii="Times New Roman" w:eastAsia="Times New Roman" w:hAnsi="Times New Roman" w:cs="Times New Roman"/>
          <w:sz w:val="24"/>
          <w:szCs w:val="24"/>
          <w:lang w:eastAsia="ru-RU"/>
        </w:rPr>
        <w:t xml:space="preserve">межбюджетных трансфертов (в 2015 году – 8, </w:t>
      </w:r>
      <w:r w:rsidRPr="0010764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br/>
      </w:r>
      <w:r w:rsidRPr="0010764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 году - 10), 5 юридических лиц – получателей средств субсидий</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Проверками в 2017 году охвачено 7,3 процента</w:t>
      </w:r>
      <w:r w:rsidRPr="00FF5B29">
        <w:rPr>
          <w:rFonts w:ascii="Times New Roman" w:eastAsia="Times New Roman" w:hAnsi="Times New Roman" w:cs="Times New Roman"/>
          <w:sz w:val="24"/>
          <w:szCs w:val="24"/>
          <w:lang w:eastAsia="ru-RU"/>
        </w:rPr>
        <w:t xml:space="preserve"> объема финансирования подведомственных учреждений и </w:t>
      </w:r>
      <w:r>
        <w:rPr>
          <w:rFonts w:ascii="Times New Roman" w:eastAsia="Times New Roman" w:hAnsi="Times New Roman" w:cs="Times New Roman"/>
          <w:sz w:val="24"/>
          <w:szCs w:val="24"/>
          <w:lang w:eastAsia="ru-RU"/>
        </w:rPr>
        <w:br/>
        <w:t>4,4</w:t>
      </w:r>
      <w:r w:rsidRPr="00FF5B29">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а</w:t>
      </w:r>
      <w:r w:rsidRPr="00FF5B29">
        <w:rPr>
          <w:rFonts w:ascii="Times New Roman" w:eastAsia="Times New Roman" w:hAnsi="Times New Roman" w:cs="Times New Roman"/>
          <w:sz w:val="24"/>
          <w:szCs w:val="24"/>
          <w:lang w:eastAsia="ru-RU"/>
        </w:rPr>
        <w:t xml:space="preserve"> объема </w:t>
      </w:r>
      <w:r>
        <w:rPr>
          <w:rFonts w:ascii="Times New Roman" w:eastAsia="Times New Roman" w:hAnsi="Times New Roman" w:cs="Times New Roman"/>
          <w:sz w:val="24"/>
          <w:szCs w:val="24"/>
          <w:lang w:eastAsia="ru-RU"/>
        </w:rPr>
        <w:t xml:space="preserve">межбюджетных трансфертов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 xml:space="preserve">5 году соответственно 41 и </w:t>
      </w:r>
      <w:r>
        <w:rPr>
          <w:rFonts w:ascii="Times New Roman" w:eastAsia="Times New Roman" w:hAnsi="Times New Roman" w:cs="Times New Roman"/>
          <w:sz w:val="24"/>
          <w:szCs w:val="24"/>
          <w:lang w:eastAsia="ru-RU"/>
        </w:rPr>
        <w:br/>
        <w:t>28</w:t>
      </w:r>
      <w:r w:rsidRPr="00FF5B29">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 в 2016 году - 33,1 и 16</w:t>
      </w:r>
      <w:r w:rsidRPr="00FF5B29">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107640">
        <w:rPr>
          <w:rFonts w:ascii="Times New Roman" w:eastAsia="Times New Roman" w:hAnsi="Times New Roman" w:cs="Times New Roman"/>
          <w:sz w:val="24"/>
          <w:szCs w:val="24"/>
          <w:lang w:eastAsia="ru-RU"/>
        </w:rPr>
        <w:t>)</w:t>
      </w:r>
      <w:r w:rsidR="004C3485">
        <w:rPr>
          <w:rFonts w:ascii="Times New Roman" w:eastAsia="Times New Roman" w:hAnsi="Times New Roman" w:cs="Times New Roman"/>
          <w:sz w:val="24"/>
          <w:szCs w:val="24"/>
          <w:lang w:eastAsia="ru-RU"/>
        </w:rPr>
        <w:t>.</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представленной информации в 2017 году в 2 подведомственных учреждениях проведены проверки финансово-хозяйственной деятельности, 12 тематических проверок, в том числе 3 - муниципальных образований области по вопросам целевого и эффективного расходования средств межбюджетных трансфертов, 4 – подведомственных учреждений по отдельным, узким вопросам деятельности (1 - проверка выплаты стипендии и материальной помощи, 3 – «проверки минимизации денежного обращения»), </w:t>
      </w:r>
      <w:r>
        <w:rPr>
          <w:rFonts w:ascii="Times New Roman" w:eastAsia="Times New Roman" w:hAnsi="Times New Roman" w:cs="Times New Roman"/>
          <w:sz w:val="24"/>
          <w:szCs w:val="24"/>
          <w:lang w:eastAsia="ru-RU"/>
        </w:rPr>
        <w:br/>
        <w:t>5 проверок юридических лиц по вопросу целевого и эффективного использования средств субсидий.</w:t>
      </w:r>
    </w:p>
    <w:p w:rsidR="00B36094" w:rsidRDefault="00B36094" w:rsidP="00B36094">
      <w:pPr>
        <w:spacing w:after="0" w:line="240" w:lineRule="auto"/>
        <w:ind w:firstLine="709"/>
        <w:jc w:val="both"/>
        <w:rPr>
          <w:rFonts w:ascii="Times New Roman" w:hAnsi="Times New Roman" w:cs="Times New Roman"/>
          <w:sz w:val="24"/>
        </w:rPr>
      </w:pPr>
      <w:r w:rsidRPr="00107640">
        <w:rPr>
          <w:rFonts w:ascii="Times New Roman" w:eastAsia="Times New Roman" w:hAnsi="Times New Roman" w:cs="Times New Roman"/>
          <w:sz w:val="24"/>
          <w:szCs w:val="24"/>
          <w:lang w:eastAsia="ru-RU"/>
        </w:rPr>
        <w:t>Объем выявленных финансовых нарушений составил</w:t>
      </w:r>
      <w:r>
        <w:rPr>
          <w:rFonts w:ascii="Times New Roman" w:eastAsia="Times New Roman" w:hAnsi="Times New Roman" w:cs="Times New Roman"/>
          <w:sz w:val="24"/>
          <w:szCs w:val="24"/>
          <w:lang w:eastAsia="ru-RU"/>
        </w:rPr>
        <w:t xml:space="preserve"> 2511,8 </w:t>
      </w:r>
      <w:r w:rsidRPr="00107640">
        <w:rPr>
          <w:rFonts w:ascii="Times New Roman" w:eastAsia="Times New Roman" w:hAnsi="Times New Roman" w:cs="Times New Roman"/>
          <w:sz w:val="24"/>
          <w:szCs w:val="24"/>
          <w:lang w:eastAsia="ru-RU"/>
        </w:rPr>
        <w:t>тыс. рубле</w:t>
      </w:r>
      <w:r>
        <w:rPr>
          <w:rFonts w:ascii="Times New Roman" w:eastAsia="Times New Roman" w:hAnsi="Times New Roman" w:cs="Times New Roman"/>
          <w:sz w:val="24"/>
          <w:szCs w:val="24"/>
          <w:lang w:eastAsia="ru-RU"/>
        </w:rPr>
        <w:t xml:space="preserve">й </w:t>
      </w:r>
      <w:r>
        <w:rPr>
          <w:rFonts w:ascii="Times New Roman" w:eastAsia="Times New Roman" w:hAnsi="Times New Roman" w:cs="Times New Roman"/>
          <w:sz w:val="24"/>
          <w:szCs w:val="24"/>
          <w:lang w:eastAsia="ru-RU"/>
        </w:rPr>
        <w:br/>
        <w:t>(в 2015</w:t>
      </w:r>
      <w:r w:rsidRPr="00107640">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141229,6 </w:t>
      </w:r>
      <w:r w:rsidRPr="003B3F78">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в 2016</w:t>
      </w:r>
      <w:r w:rsidRPr="00107640">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4182,2 </w:t>
      </w:r>
      <w:r w:rsidRPr="003B3F78">
        <w:rPr>
          <w:rFonts w:ascii="Times New Roman" w:eastAsia="Times New Roman" w:hAnsi="Times New Roman" w:cs="Times New Roman"/>
          <w:sz w:val="24"/>
          <w:szCs w:val="24"/>
          <w:lang w:eastAsia="ru-RU"/>
        </w:rPr>
        <w:t xml:space="preserve">тыс. рублей), устранено финансовых нарушений в объеме </w:t>
      </w:r>
      <w:r>
        <w:rPr>
          <w:rFonts w:ascii="Times New Roman" w:eastAsia="Times New Roman" w:hAnsi="Times New Roman" w:cs="Times New Roman"/>
          <w:sz w:val="24"/>
          <w:szCs w:val="24"/>
          <w:lang w:eastAsia="ru-RU"/>
        </w:rPr>
        <w:t xml:space="preserve">478,6 </w:t>
      </w:r>
      <w:r w:rsidRPr="003B3F78">
        <w:rPr>
          <w:rFonts w:ascii="Times New Roman" w:eastAsia="Times New Roman" w:hAnsi="Times New Roman" w:cs="Times New Roman"/>
          <w:sz w:val="24"/>
          <w:szCs w:val="24"/>
          <w:lang w:eastAsia="ru-RU"/>
        </w:rPr>
        <w:t>тыс. рублей (в 201</w:t>
      </w:r>
      <w:r>
        <w:rPr>
          <w:rFonts w:ascii="Times New Roman" w:eastAsia="Times New Roman" w:hAnsi="Times New Roman" w:cs="Times New Roman"/>
          <w:sz w:val="24"/>
          <w:szCs w:val="24"/>
          <w:lang w:eastAsia="ru-RU"/>
        </w:rPr>
        <w:t>5</w:t>
      </w:r>
      <w:r w:rsidRPr="003B3F78">
        <w:rPr>
          <w:rFonts w:ascii="Times New Roman" w:eastAsia="Times New Roman" w:hAnsi="Times New Roman" w:cs="Times New Roman"/>
          <w:sz w:val="24"/>
          <w:szCs w:val="24"/>
          <w:lang w:eastAsia="ru-RU"/>
        </w:rPr>
        <w:t xml:space="preserve"> году - 658,4 тыс. рублей</w:t>
      </w:r>
      <w:r>
        <w:rPr>
          <w:rFonts w:ascii="Times New Roman" w:eastAsia="Times New Roman" w:hAnsi="Times New Roman" w:cs="Times New Roman"/>
          <w:sz w:val="24"/>
          <w:szCs w:val="24"/>
          <w:lang w:eastAsia="ru-RU"/>
        </w:rPr>
        <w:t xml:space="preserve">, в 2016 году - </w:t>
      </w:r>
      <w:r>
        <w:rPr>
          <w:rFonts w:ascii="Times New Roman" w:eastAsia="Times New Roman" w:hAnsi="Times New Roman" w:cs="Times New Roman"/>
          <w:sz w:val="24"/>
          <w:szCs w:val="24"/>
          <w:lang w:eastAsia="ru-RU"/>
        </w:rPr>
        <w:br/>
        <w:t xml:space="preserve">1129,4 </w:t>
      </w:r>
      <w:r w:rsidRPr="003B3F78">
        <w:rPr>
          <w:rFonts w:ascii="Times New Roman" w:eastAsia="Times New Roman" w:hAnsi="Times New Roman" w:cs="Times New Roman"/>
          <w:sz w:val="24"/>
          <w:szCs w:val="24"/>
          <w:lang w:eastAsia="ru-RU"/>
        </w:rPr>
        <w:t>тыс. рублей), из</w:t>
      </w:r>
      <w:r>
        <w:rPr>
          <w:rFonts w:ascii="Times New Roman" w:eastAsia="Times New Roman" w:hAnsi="Times New Roman" w:cs="Times New Roman"/>
          <w:sz w:val="24"/>
          <w:szCs w:val="24"/>
          <w:lang w:eastAsia="ru-RU"/>
        </w:rPr>
        <w:t xml:space="preserve"> них возмещено в доход бюджета 478</w:t>
      </w:r>
      <w:r w:rsidRPr="003B3F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B3F78">
        <w:rPr>
          <w:rFonts w:ascii="Times New Roman" w:eastAsia="Times New Roman" w:hAnsi="Times New Roman" w:cs="Times New Roman"/>
          <w:sz w:val="24"/>
          <w:szCs w:val="24"/>
          <w:lang w:eastAsia="ru-RU"/>
        </w:rPr>
        <w:t xml:space="preserve"> тыс. рублей (в 201</w:t>
      </w:r>
      <w:r>
        <w:rPr>
          <w:rFonts w:ascii="Times New Roman" w:eastAsia="Times New Roman" w:hAnsi="Times New Roman" w:cs="Times New Roman"/>
          <w:sz w:val="24"/>
          <w:szCs w:val="24"/>
          <w:lang w:eastAsia="ru-RU"/>
        </w:rPr>
        <w:t>5</w:t>
      </w:r>
      <w:r w:rsidRPr="003B3F78">
        <w:rPr>
          <w:rFonts w:ascii="Times New Roman" w:eastAsia="Times New Roman" w:hAnsi="Times New Roman" w:cs="Times New Roman"/>
          <w:sz w:val="24"/>
          <w:szCs w:val="24"/>
          <w:lang w:eastAsia="ru-RU"/>
        </w:rPr>
        <w:t xml:space="preserve"> году – 608,5 тыс. рублей</w:t>
      </w:r>
      <w:r>
        <w:rPr>
          <w:rFonts w:ascii="Times New Roman" w:eastAsia="Times New Roman" w:hAnsi="Times New Roman" w:cs="Times New Roman"/>
          <w:sz w:val="24"/>
          <w:szCs w:val="24"/>
          <w:lang w:eastAsia="ru-RU"/>
        </w:rPr>
        <w:t xml:space="preserve">, в 2016 году - </w:t>
      </w:r>
      <w:r w:rsidRPr="003B3F7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14</w:t>
      </w:r>
      <w:r w:rsidRPr="003B3F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3B3F78">
        <w:rPr>
          <w:rFonts w:ascii="Times New Roman" w:eastAsia="Times New Roman" w:hAnsi="Times New Roman" w:cs="Times New Roman"/>
          <w:sz w:val="24"/>
          <w:szCs w:val="24"/>
          <w:lang w:eastAsia="ru-RU"/>
        </w:rPr>
        <w:t xml:space="preserve"> тыс. рублей). М</w:t>
      </w:r>
      <w:r w:rsidRPr="003B3F78">
        <w:rPr>
          <w:rFonts w:ascii="Times New Roman" w:hAnsi="Times New Roman" w:cs="Times New Roman"/>
          <w:sz w:val="24"/>
        </w:rPr>
        <w:t xml:space="preserve">атериалы </w:t>
      </w:r>
      <w:r>
        <w:rPr>
          <w:rFonts w:ascii="Times New Roman" w:hAnsi="Times New Roman" w:cs="Times New Roman"/>
          <w:sz w:val="24"/>
        </w:rPr>
        <w:t>2</w:t>
      </w:r>
      <w:r w:rsidRPr="003B3F78">
        <w:rPr>
          <w:rFonts w:ascii="Times New Roman" w:hAnsi="Times New Roman" w:cs="Times New Roman"/>
          <w:sz w:val="24"/>
        </w:rPr>
        <w:t xml:space="preserve"> контрольных мероприятий направлены в адрес министерства финансов области </w:t>
      </w:r>
      <w:r>
        <w:rPr>
          <w:rFonts w:ascii="Times New Roman" w:hAnsi="Times New Roman" w:cs="Times New Roman"/>
          <w:sz w:val="24"/>
        </w:rPr>
        <w:t>для принятия решений о применении бюджетных мер принуждения, применено бюджетных мер принуждения по 2 материалам проверок на сумму 478,6 тыс. рублей. При наличии установленных фактов</w:t>
      </w:r>
      <w:r w:rsidRPr="00E2057F">
        <w:rPr>
          <w:rFonts w:ascii="Times New Roman" w:eastAsia="Times New Roman" w:hAnsi="Times New Roman" w:cs="Times New Roman"/>
          <w:sz w:val="24"/>
          <w:szCs w:val="24"/>
          <w:lang w:eastAsia="ru-RU"/>
        </w:rPr>
        <w:t xml:space="preserve"> </w:t>
      </w:r>
      <w:r w:rsidRPr="006130E9">
        <w:rPr>
          <w:rFonts w:ascii="Times New Roman" w:eastAsia="Times New Roman" w:hAnsi="Times New Roman" w:cs="Times New Roman"/>
          <w:sz w:val="24"/>
          <w:szCs w:val="24"/>
          <w:lang w:eastAsia="ru-RU"/>
        </w:rPr>
        <w:t xml:space="preserve">нецелевого использования бюджетных средств </w:t>
      </w:r>
      <w:r>
        <w:rPr>
          <w:rFonts w:ascii="Times New Roman" w:eastAsia="Times New Roman" w:hAnsi="Times New Roman" w:cs="Times New Roman"/>
          <w:sz w:val="24"/>
          <w:szCs w:val="24"/>
          <w:lang w:eastAsia="ru-RU"/>
        </w:rPr>
        <w:t>(478,6</w:t>
      </w:r>
      <w:r w:rsidRPr="006130E9">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r w:rsidRPr="006130E9">
        <w:rPr>
          <w:rFonts w:ascii="Times New Roman" w:eastAsia="Times New Roman" w:hAnsi="Times New Roman" w:cs="Times New Roman"/>
          <w:sz w:val="24"/>
          <w:szCs w:val="24"/>
          <w:lang w:eastAsia="ru-RU"/>
        </w:rPr>
        <w:t>, за совершение котор</w:t>
      </w:r>
      <w:r>
        <w:rPr>
          <w:rFonts w:ascii="Times New Roman" w:eastAsia="Times New Roman" w:hAnsi="Times New Roman" w:cs="Times New Roman"/>
          <w:sz w:val="24"/>
          <w:szCs w:val="24"/>
          <w:lang w:eastAsia="ru-RU"/>
        </w:rPr>
        <w:t>ых</w:t>
      </w:r>
      <w:r w:rsidRPr="006130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Кодексом об административных правонарушениях Российской Федерации </w:t>
      </w:r>
      <w:r>
        <w:rPr>
          <w:rFonts w:ascii="Times New Roman" w:hAnsi="Times New Roman" w:cs="Times New Roman"/>
          <w:sz w:val="24"/>
        </w:rPr>
        <w:t>предусмотрено привлечение к административной ответственности, вопрос о возбуждении дел об административном правонарушении для рассмотрения органу государственного финан</w:t>
      </w:r>
      <w:r w:rsidR="004C3485">
        <w:rPr>
          <w:rFonts w:ascii="Times New Roman" w:hAnsi="Times New Roman" w:cs="Times New Roman"/>
          <w:sz w:val="24"/>
        </w:rPr>
        <w:t>сового контроля не направлялся.</w:t>
      </w:r>
    </w:p>
    <w:p w:rsidR="00B36094" w:rsidRP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094">
        <w:rPr>
          <w:rFonts w:ascii="Times New Roman" w:eastAsia="Times New Roman" w:hAnsi="Times New Roman" w:cs="Times New Roman"/>
          <w:sz w:val="24"/>
          <w:szCs w:val="24"/>
          <w:lang w:eastAsia="ru-RU"/>
        </w:rPr>
        <w:t xml:space="preserve">Информация о датах последних ревизий и проверок представлена по 20 из </w:t>
      </w:r>
      <w:r w:rsidRPr="00B36094">
        <w:rPr>
          <w:rFonts w:ascii="Times New Roman" w:eastAsia="Times New Roman" w:hAnsi="Times New Roman" w:cs="Times New Roman"/>
          <w:sz w:val="24"/>
          <w:szCs w:val="24"/>
          <w:lang w:eastAsia="ru-RU"/>
        </w:rPr>
        <w:br/>
        <w:t>22 подведомственных министерству учреждений, при этом согласно представленной информации по отдельным учреждениям проверки внутреннего финансового контроля министерством не проводились и на 2018 год не запланированы (г</w:t>
      </w:r>
      <w:r w:rsidRPr="00B36094">
        <w:rPr>
          <w:rFonts w:ascii="Times New Roman" w:hAnsi="Times New Roman" w:cs="Times New Roman"/>
          <w:sz w:val="24"/>
          <w:szCs w:val="24"/>
        </w:rPr>
        <w:t xml:space="preserve">осударственное общеобразовательное казенное учреждение Амурской области «Общеобразовательная школа при учреждениях исполнения наказаний» и </w:t>
      </w:r>
      <w:r w:rsidRPr="00B36094">
        <w:rPr>
          <w:rFonts w:ascii="Times New Roman" w:eastAsia="Times New Roman" w:hAnsi="Times New Roman" w:cs="Times New Roman"/>
          <w:sz w:val="24"/>
          <w:szCs w:val="24"/>
          <w:lang w:eastAsia="ru-RU"/>
        </w:rPr>
        <w:t>г</w:t>
      </w:r>
      <w:r w:rsidRPr="00B36094">
        <w:rPr>
          <w:rFonts w:ascii="Times New Roman" w:hAnsi="Times New Roman" w:cs="Times New Roman"/>
          <w:sz w:val="24"/>
          <w:szCs w:val="24"/>
        </w:rPr>
        <w:t xml:space="preserve">осударственное профессиональное образовательное автономное учреждение Амурской области «Амурский казачий колледж»). </w:t>
      </w:r>
      <w:r w:rsidRPr="00B36094">
        <w:rPr>
          <w:rFonts w:ascii="Times New Roman" w:eastAsia="Times New Roman" w:hAnsi="Times New Roman" w:cs="Times New Roman"/>
          <w:sz w:val="24"/>
          <w:szCs w:val="24"/>
          <w:lang w:eastAsia="ru-RU"/>
        </w:rPr>
        <w:t xml:space="preserve">Согласно информации по отдельным подведомственным учреждениям проверки внутреннего </w:t>
      </w:r>
      <w:r w:rsidRPr="00B36094">
        <w:rPr>
          <w:rFonts w:ascii="Times New Roman" w:hAnsi="Times New Roman" w:cs="Times New Roman"/>
          <w:sz w:val="24"/>
          <w:szCs w:val="24"/>
        </w:rPr>
        <w:t xml:space="preserve">финансового </w:t>
      </w:r>
      <w:r w:rsidRPr="00B36094">
        <w:rPr>
          <w:rFonts w:ascii="Times New Roman" w:eastAsia="Times New Roman" w:hAnsi="Times New Roman" w:cs="Times New Roman"/>
          <w:sz w:val="24"/>
          <w:szCs w:val="24"/>
          <w:lang w:eastAsia="ru-RU"/>
        </w:rPr>
        <w:t>контроля не проводились более 4 лет</w:t>
      </w:r>
      <w:r w:rsidR="004C3485">
        <w:rPr>
          <w:rFonts w:ascii="Times New Roman" w:hAnsi="Times New Roman" w:cs="Times New Roman"/>
          <w:sz w:val="24"/>
          <w:szCs w:val="24"/>
        </w:rPr>
        <w:t>.</w:t>
      </w:r>
    </w:p>
    <w:p w:rsidR="00B36094" w:rsidRDefault="00B36094" w:rsidP="00B36094">
      <w:pPr>
        <w:pStyle w:val="ConsPlusNormal"/>
        <w:ind w:firstLine="709"/>
        <w:jc w:val="both"/>
        <w:rPr>
          <w:sz w:val="24"/>
        </w:rPr>
      </w:pPr>
      <w:r w:rsidRPr="00B36094">
        <w:rPr>
          <w:rFonts w:ascii="Times New Roman" w:hAnsi="Times New Roman" w:cs="Times New Roman"/>
          <w:sz w:val="24"/>
          <w:szCs w:val="24"/>
        </w:rPr>
        <w:t>В 2017 году подготовлено 13 заключений по результатам осуществления оценки экономности и результативности расходования бюджетных средств для достижения целей, задач и целевых прогнозных показателей. Подготовка предусмотренных «</w:t>
      </w:r>
      <w:hyperlink r:id="rId60" w:history="1">
        <w:r w:rsidRPr="00B36094">
          <w:rPr>
            <w:rFonts w:ascii="Times New Roman" w:hAnsi="Times New Roman" w:cs="Times New Roman"/>
            <w:sz w:val="24"/>
            <w:szCs w:val="24"/>
          </w:rPr>
          <w:t>Порядк</w:t>
        </w:r>
      </w:hyperlink>
      <w:r w:rsidRPr="00B36094">
        <w:rPr>
          <w:rFonts w:ascii="Times New Roman" w:hAnsi="Times New Roman" w:cs="Times New Roman"/>
          <w:sz w:val="24"/>
          <w:szCs w:val="24"/>
        </w:rPr>
        <w:t>ом осуществления внутреннего финансового контроля и внутреннего финансового аудита», утвержденным Постановлением Правительства Амурской области от 30.06.2011 № 439, заключений в отношении анализа составления бюджетной отчетности и ведения бюджетного учета, являющиеся вопросом внутреннего финансового аудита, не осуществлялась</w:t>
      </w:r>
      <w:r>
        <w:rPr>
          <w:sz w:val="24"/>
          <w:szCs w:val="24"/>
        </w:rPr>
        <w:t>.</w:t>
      </w:r>
    </w:p>
    <w:p w:rsidR="00B36094" w:rsidRPr="00107640" w:rsidRDefault="00B36094" w:rsidP="00B360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A04E7F">
        <w:rPr>
          <w:rFonts w:ascii="Times New Roman" w:hAnsi="Times New Roman" w:cs="Times New Roman"/>
          <w:sz w:val="24"/>
          <w:szCs w:val="24"/>
        </w:rPr>
        <w:t>внутренн</w:t>
      </w:r>
      <w:r>
        <w:rPr>
          <w:rFonts w:ascii="Times New Roman" w:hAnsi="Times New Roman" w:cs="Times New Roman"/>
          <w:sz w:val="24"/>
          <w:szCs w:val="24"/>
        </w:rPr>
        <w:t>ему</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ому</w:t>
      </w:r>
      <w:r w:rsidRPr="00A04E7F">
        <w:rPr>
          <w:rFonts w:ascii="Times New Roman" w:hAnsi="Times New Roman" w:cs="Times New Roman"/>
          <w:sz w:val="24"/>
          <w:szCs w:val="24"/>
        </w:rPr>
        <w:t xml:space="preserve"> аудит</w:t>
      </w:r>
      <w:r>
        <w:rPr>
          <w:rFonts w:ascii="Times New Roman" w:hAnsi="Times New Roman" w:cs="Times New Roman"/>
          <w:sz w:val="24"/>
          <w:szCs w:val="24"/>
        </w:rPr>
        <w:t>у</w:t>
      </w:r>
      <w:r>
        <w:rPr>
          <w:rFonts w:ascii="Times New Roman" w:eastAsia="Times New Roman" w:hAnsi="Times New Roman" w:cs="Times New Roman"/>
          <w:sz w:val="24"/>
          <w:szCs w:val="24"/>
          <w:lang w:eastAsia="ru-RU"/>
        </w:rPr>
        <w:t xml:space="preserve"> возложено на отдел бюджетного учета, контроля и отчетности, штатной численностью 5 единиц, фактическое число сотрудников в 2017 году составляло от 1 до 4 человек. Наличие вакантных должностей в </w:t>
      </w:r>
      <w:r>
        <w:rPr>
          <w:rFonts w:ascii="Times New Roman" w:hAnsi="Times New Roman" w:cs="Times New Roman"/>
          <w:sz w:val="24"/>
          <w:szCs w:val="24"/>
        </w:rPr>
        <w:t xml:space="preserve">подразделении, уполномоченном на осуществление </w:t>
      </w:r>
      <w:r w:rsidRPr="00EE274A">
        <w:rPr>
          <w:rFonts w:ascii="Times New Roman" w:hAnsi="Times New Roman" w:cs="Times New Roman"/>
          <w:sz w:val="24"/>
          <w:szCs w:val="24"/>
        </w:rPr>
        <w:t>внутреннего финансового контроля и внутреннего финансового аудита</w:t>
      </w:r>
      <w:r>
        <w:rPr>
          <w:rFonts w:ascii="Times New Roman" w:eastAsia="Times New Roman" w:hAnsi="Times New Roman" w:cs="Times New Roman"/>
          <w:sz w:val="24"/>
          <w:szCs w:val="24"/>
          <w:lang w:eastAsia="ru-RU"/>
        </w:rPr>
        <w:t xml:space="preserve"> министерства, низкий уровень охвата контрольными мероприятиями подведомственных учреждений, незначительный уровень устранения выявленных нарушений свидетельствуют, что организации работы в министерстве образования и науки Амурской области не </w:t>
      </w:r>
      <w:r w:rsidRPr="00107640">
        <w:rPr>
          <w:rFonts w:ascii="Times New Roman" w:eastAsia="Times New Roman" w:hAnsi="Times New Roman" w:cs="Times New Roman"/>
          <w:sz w:val="24"/>
          <w:szCs w:val="24"/>
          <w:lang w:eastAsia="ru-RU"/>
        </w:rPr>
        <w:t xml:space="preserve">позволяет обеспечить на должном уровне </w:t>
      </w:r>
      <w:r w:rsidRPr="00107640">
        <w:rPr>
          <w:rFonts w:ascii="Times New Roman" w:eastAsia="Times New Roman" w:hAnsi="Times New Roman" w:cs="Times New Roman"/>
          <w:sz w:val="24"/>
          <w:szCs w:val="24"/>
          <w:lang w:eastAsia="ru-RU"/>
        </w:rPr>
        <w:lastRenderedPageBreak/>
        <w:t xml:space="preserve">полномочия по </w:t>
      </w:r>
      <w:r>
        <w:rPr>
          <w:rFonts w:ascii="Times New Roman" w:eastAsia="Times New Roman" w:hAnsi="Times New Roman" w:cs="Times New Roman"/>
          <w:sz w:val="24"/>
          <w:szCs w:val="24"/>
          <w:lang w:eastAsia="ru-RU"/>
        </w:rPr>
        <w:t xml:space="preserve">осуществлению </w:t>
      </w:r>
      <w:r w:rsidRPr="00A04E7F">
        <w:rPr>
          <w:rFonts w:ascii="Times New Roman" w:hAnsi="Times New Roman" w:cs="Times New Roman"/>
          <w:sz w:val="24"/>
          <w:szCs w:val="24"/>
        </w:rPr>
        <w:t>внутренне</w:t>
      </w:r>
      <w:r>
        <w:rPr>
          <w:rFonts w:ascii="Times New Roman" w:hAnsi="Times New Roman" w:cs="Times New Roman"/>
          <w:sz w:val="24"/>
          <w:szCs w:val="24"/>
        </w:rPr>
        <w:t>го</w:t>
      </w:r>
      <w:r w:rsidRPr="00A04E7F">
        <w:rPr>
          <w:rFonts w:ascii="Times New Roman" w:hAnsi="Times New Roman" w:cs="Times New Roman"/>
          <w:sz w:val="24"/>
          <w:szCs w:val="24"/>
        </w:rPr>
        <w:t xml:space="preserve"> финансового контроля и внутреннего финансового аудита</w:t>
      </w:r>
      <w:r>
        <w:rPr>
          <w:rFonts w:ascii="Times New Roman" w:hAnsi="Times New Roman" w:cs="Times New Roman"/>
          <w:sz w:val="24"/>
          <w:szCs w:val="24"/>
        </w:rPr>
        <w:t>.</w:t>
      </w:r>
    </w:p>
    <w:p w:rsidR="00B36094" w:rsidRPr="00B36094"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F02766">
        <w:rPr>
          <w:rFonts w:ascii="Times New Roman" w:eastAsia="Times New Roman" w:hAnsi="Times New Roman" w:cs="Times New Roman"/>
          <w:b/>
          <w:sz w:val="24"/>
          <w:szCs w:val="24"/>
          <w:lang w:eastAsia="ru-RU"/>
        </w:rPr>
        <w:t>Министерством социальной защиты населения Амурской области,</w:t>
      </w:r>
      <w:r w:rsidRPr="00F02766">
        <w:rPr>
          <w:rFonts w:ascii="Times New Roman" w:eastAsia="Times New Roman" w:hAnsi="Times New Roman" w:cs="Times New Roman"/>
          <w:sz w:val="24"/>
          <w:szCs w:val="24"/>
          <w:lang w:eastAsia="ru-RU"/>
        </w:rPr>
        <w:t xml:space="preserve"> при наличии </w:t>
      </w:r>
      <w:r w:rsidRPr="00F02766">
        <w:rPr>
          <w:rFonts w:ascii="Times New Roman" w:eastAsia="Times New Roman" w:hAnsi="Times New Roman" w:cs="Times New Roman"/>
          <w:sz w:val="24"/>
          <w:szCs w:val="24"/>
          <w:lang w:eastAsia="ru-RU"/>
        </w:rPr>
        <w:br/>
        <w:t xml:space="preserve">66 подведомственных учреждений с объемом финансирования 1841973,4 тыс. рублей, одного подведомственного государственного унитарного предприятия и объемом выделенных межбюджетных трансфертов </w:t>
      </w:r>
      <w:r w:rsidRPr="00107640">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sz w:val="24"/>
          <w:szCs w:val="24"/>
          <w:lang w:eastAsia="ru-RU"/>
        </w:rPr>
        <w:t>1745392,6</w:t>
      </w:r>
      <w:r w:rsidRPr="00107640">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внутренним финансовым</w:t>
      </w:r>
      <w:r w:rsidRPr="00A04E7F">
        <w:rPr>
          <w:rFonts w:ascii="Times New Roman" w:hAnsi="Times New Roman" w:cs="Times New Roman"/>
          <w:sz w:val="24"/>
          <w:szCs w:val="24"/>
        </w:rPr>
        <w:t xml:space="preserve"> контрол</w:t>
      </w:r>
      <w:r>
        <w:rPr>
          <w:rFonts w:ascii="Times New Roman" w:hAnsi="Times New Roman" w:cs="Times New Roman"/>
          <w:sz w:val="24"/>
          <w:szCs w:val="24"/>
        </w:rPr>
        <w:t>ем</w:t>
      </w:r>
      <w:r w:rsidRPr="00107640">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7 году охвачено 7</w:t>
      </w:r>
      <w:r w:rsidRPr="00107640">
        <w:rPr>
          <w:rFonts w:ascii="Times New Roman" w:eastAsia="Times New Roman" w:hAnsi="Times New Roman" w:cs="Times New Roman"/>
          <w:sz w:val="24"/>
          <w:szCs w:val="24"/>
          <w:lang w:eastAsia="ru-RU"/>
        </w:rPr>
        <w:t xml:space="preserve"> подведомственных учреждени</w:t>
      </w:r>
      <w:r>
        <w:rPr>
          <w:rFonts w:ascii="Times New Roman" w:eastAsia="Times New Roman" w:hAnsi="Times New Roman" w:cs="Times New Roman"/>
          <w:sz w:val="24"/>
          <w:szCs w:val="24"/>
          <w:lang w:eastAsia="ru-RU"/>
        </w:rPr>
        <w:t xml:space="preserve">й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17, </w:t>
      </w:r>
      <w:r w:rsidRPr="0010764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br/>
      </w:r>
      <w:r w:rsidRPr="0010764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 году - 14), 20,2 процента</w:t>
      </w:r>
      <w:r w:rsidRPr="00FF5B29">
        <w:rPr>
          <w:rFonts w:ascii="Times New Roman" w:eastAsia="Times New Roman" w:hAnsi="Times New Roman" w:cs="Times New Roman"/>
          <w:sz w:val="24"/>
          <w:szCs w:val="24"/>
          <w:lang w:eastAsia="ru-RU"/>
        </w:rPr>
        <w:t xml:space="preserve"> объема финансирования подведомственных </w:t>
      </w:r>
      <w:r w:rsidRPr="00CF05C7">
        <w:rPr>
          <w:rFonts w:ascii="Times New Roman" w:eastAsia="Times New Roman" w:hAnsi="Times New Roman" w:cs="Times New Roman"/>
          <w:sz w:val="24"/>
          <w:szCs w:val="24"/>
          <w:lang w:eastAsia="ru-RU"/>
        </w:rPr>
        <w:t>учреждений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 2015 году – 25,5, в 2016 году – 24,6)</w:t>
      </w:r>
      <w:r w:rsidRPr="00CF05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проверками охвачено 13 органов местного самоуправления - </w:t>
      </w:r>
      <w:r w:rsidRPr="00FF5B29">
        <w:rPr>
          <w:rFonts w:ascii="Times New Roman" w:eastAsia="Times New Roman" w:hAnsi="Times New Roman" w:cs="Times New Roman"/>
          <w:sz w:val="24"/>
          <w:szCs w:val="24"/>
          <w:lang w:eastAsia="ru-RU"/>
        </w:rPr>
        <w:t>получател</w:t>
      </w:r>
      <w:r>
        <w:rPr>
          <w:rFonts w:ascii="Times New Roman" w:eastAsia="Times New Roman" w:hAnsi="Times New Roman" w:cs="Times New Roman"/>
          <w:sz w:val="24"/>
          <w:szCs w:val="24"/>
          <w:lang w:eastAsia="ru-RU"/>
        </w:rPr>
        <w:t>ей</w:t>
      </w:r>
      <w:r w:rsidRPr="00FF5B29">
        <w:rPr>
          <w:rFonts w:ascii="Times New Roman" w:eastAsia="Times New Roman" w:hAnsi="Times New Roman" w:cs="Times New Roman"/>
          <w:sz w:val="24"/>
          <w:szCs w:val="24"/>
          <w:lang w:eastAsia="ru-RU"/>
        </w:rPr>
        <w:t xml:space="preserve"> средств </w:t>
      </w:r>
      <w:r>
        <w:rPr>
          <w:rFonts w:ascii="Times New Roman" w:eastAsia="Times New Roman" w:hAnsi="Times New Roman" w:cs="Times New Roman"/>
          <w:sz w:val="24"/>
          <w:szCs w:val="24"/>
          <w:lang w:eastAsia="ru-RU"/>
        </w:rPr>
        <w:t xml:space="preserve">межбюджетных трансфертов (в 2015 году – 29), проверки </w:t>
      </w:r>
      <w:r w:rsidRPr="00B36094">
        <w:rPr>
          <w:rFonts w:ascii="Times New Roman" w:eastAsia="Times New Roman" w:hAnsi="Times New Roman" w:cs="Times New Roman"/>
          <w:sz w:val="24"/>
          <w:szCs w:val="24"/>
          <w:lang w:eastAsia="ru-RU"/>
        </w:rPr>
        <w:t>проведены в отношении 5,3 процента выделенных средств межбюджетных т</w:t>
      </w:r>
      <w:r w:rsidR="004C3485">
        <w:rPr>
          <w:rFonts w:ascii="Times New Roman" w:eastAsia="Times New Roman" w:hAnsi="Times New Roman" w:cs="Times New Roman"/>
          <w:sz w:val="24"/>
          <w:szCs w:val="24"/>
          <w:lang w:eastAsia="ru-RU"/>
        </w:rPr>
        <w:t>рансфертов (в 2015 году – 3,1).</w:t>
      </w:r>
    </w:p>
    <w:p w:rsidR="00B36094" w:rsidRP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36094">
        <w:rPr>
          <w:rFonts w:ascii="Times New Roman" w:eastAsia="Times New Roman" w:hAnsi="Times New Roman" w:cs="Times New Roman"/>
          <w:sz w:val="24"/>
          <w:szCs w:val="24"/>
          <w:lang w:eastAsia="ru-RU"/>
        </w:rPr>
        <w:t>В 2017 году министерством социальной защиты населения согласно представленной информации проведено 10 контрольных мероприятий (в 2015 году – 29, в 2016 - 30), при этом установлено, что только в 3 подведомственных учреждениях проведены ревизии финансово-хозяйственной деятельности, в 7 учреждениях проведены тематические проверки, из 10 проведенных проверок по результатам контрольных мероприятий направлены предложения по 4 объектам контроля, ни по одному учреждению предложения не сняты с контроля.</w:t>
      </w:r>
    </w:p>
    <w:p w:rsidR="00B36094" w:rsidRP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36094">
        <w:rPr>
          <w:rFonts w:ascii="Times New Roman" w:eastAsia="Times New Roman" w:hAnsi="Times New Roman" w:cs="Times New Roman"/>
          <w:sz w:val="24"/>
          <w:szCs w:val="24"/>
          <w:lang w:eastAsia="ru-RU"/>
        </w:rPr>
        <w:t xml:space="preserve">Проведенными ревизиями и проверками выявлено финансовых нарушений на сумму 11560,6 тыс. рублей (в 2015 году - 3761,8 тыс. рублей, в 2016 году - 5420,3 тыс. рублей), устранено финансовых нарушений на сумму 16,0 тыс. рублей, или 0,1 процента (в 2015 году - 22,9 тыс. рублей, или 0,6 процента, в 2016 году - 242,6 тыс. рублей, или 4,5 процента) установленного объема финансовых нарушений, что свидетельствует о крайне низкой эффективности внутреннего финансового </w:t>
      </w:r>
      <w:r w:rsidR="004C3485">
        <w:rPr>
          <w:rFonts w:ascii="Times New Roman" w:eastAsia="Times New Roman" w:hAnsi="Times New Roman" w:cs="Times New Roman"/>
          <w:sz w:val="24"/>
          <w:szCs w:val="24"/>
          <w:lang w:eastAsia="ru-RU"/>
        </w:rPr>
        <w:t>контроля министерства.</w:t>
      </w:r>
    </w:p>
    <w:p w:rsidR="00B36094" w:rsidRPr="00B36094" w:rsidRDefault="00B36094" w:rsidP="00B36094">
      <w:pPr>
        <w:pStyle w:val="ConsPlusNormal"/>
        <w:ind w:firstLine="709"/>
        <w:jc w:val="both"/>
        <w:rPr>
          <w:rFonts w:ascii="Times New Roman" w:hAnsi="Times New Roman" w:cs="Times New Roman"/>
          <w:sz w:val="24"/>
          <w:szCs w:val="24"/>
        </w:rPr>
      </w:pPr>
      <w:r w:rsidRPr="00B36094">
        <w:rPr>
          <w:rFonts w:ascii="Times New Roman" w:hAnsi="Times New Roman" w:cs="Times New Roman"/>
          <w:sz w:val="24"/>
          <w:szCs w:val="24"/>
        </w:rPr>
        <w:t xml:space="preserve">Согласно представленной информации по 27 подведомственным учреждениям </w:t>
      </w:r>
      <w:r w:rsidRPr="00B36094">
        <w:rPr>
          <w:rFonts w:ascii="Times New Roman" w:hAnsi="Times New Roman" w:cs="Times New Roman"/>
          <w:sz w:val="24"/>
          <w:szCs w:val="24"/>
        </w:rPr>
        <w:br/>
        <w:t>(40 процентов от общего количества подведомственных учреждений) проверки внутреннего финансового контроля не проводились в течение 5-8 лет и не запланированы к проведению на 2018 год. При этом по 4 учреждениям, охваченных проверками внутреннего финансового контроля в 2017 году, запланировано п</w:t>
      </w:r>
      <w:r w:rsidR="004C3485">
        <w:rPr>
          <w:rFonts w:ascii="Times New Roman" w:hAnsi="Times New Roman" w:cs="Times New Roman"/>
          <w:sz w:val="24"/>
          <w:szCs w:val="24"/>
        </w:rPr>
        <w:t>роведение проверок на 2018 год.</w:t>
      </w:r>
    </w:p>
    <w:p w:rsidR="00B36094" w:rsidRPr="00B36094" w:rsidRDefault="00B36094" w:rsidP="00B36094">
      <w:pPr>
        <w:pStyle w:val="ConsPlusNormal"/>
        <w:ind w:firstLine="709"/>
        <w:jc w:val="both"/>
        <w:rPr>
          <w:rFonts w:ascii="Times New Roman" w:hAnsi="Times New Roman" w:cs="Times New Roman"/>
          <w:sz w:val="24"/>
          <w:szCs w:val="24"/>
        </w:rPr>
      </w:pPr>
      <w:r w:rsidRPr="00B36094">
        <w:rPr>
          <w:rFonts w:ascii="Times New Roman" w:hAnsi="Times New Roman" w:cs="Times New Roman"/>
          <w:sz w:val="24"/>
          <w:szCs w:val="24"/>
        </w:rPr>
        <w:t>Имеют место недостатки при планировании проверок в 2017 году, в план работы министерства включена и проведена проверка ГАУ Амурской области «Новорайчихинский центр социальной (постинтернатной) адаптации выпускников организаций для детей-сирот и детей, оставшихся без попечения родителей «Маяк», при том, что данная проверка по предложению губернатора Амурской области от 05.12.2016 была включена в план работы контрольно-счетной палаты Амурской области на 2017 год и проведена органом внешнего государственного контроля, что привело к дублированию работы контрольных органов и нерациональному использованию трудовых ресурсов.</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6094">
        <w:rPr>
          <w:rFonts w:ascii="Times New Roman" w:eastAsia="Times New Roman" w:hAnsi="Times New Roman" w:cs="Times New Roman"/>
          <w:sz w:val="24"/>
          <w:szCs w:val="24"/>
          <w:lang w:eastAsia="ru-RU"/>
        </w:rPr>
        <w:t>Анализом представленной информации установлено, что в 2017 году не подготовлено ни одного заключения по результатам проведения внутреннего</w:t>
      </w:r>
      <w:r w:rsidRPr="001A6ED9">
        <w:rPr>
          <w:rFonts w:ascii="Times New Roman" w:eastAsia="Times New Roman" w:hAnsi="Times New Roman" w:cs="Times New Roman"/>
          <w:sz w:val="24"/>
          <w:szCs w:val="24"/>
          <w:lang w:eastAsia="ru-RU"/>
        </w:rPr>
        <w:t xml:space="preserve"> финансового аудита, вопросами которого </w:t>
      </w:r>
      <w:r w:rsidRPr="001A6ED9">
        <w:rPr>
          <w:rFonts w:ascii="Times New Roman" w:hAnsi="Times New Roman" w:cs="Times New Roman"/>
          <w:sz w:val="24"/>
          <w:szCs w:val="24"/>
        </w:rPr>
        <w:t>в соответствии с «</w:t>
      </w:r>
      <w:hyperlink r:id="rId61" w:history="1">
        <w:r w:rsidRPr="001A6ED9">
          <w:rPr>
            <w:rFonts w:ascii="Times New Roman" w:eastAsia="Times New Roman" w:hAnsi="Times New Roman" w:cs="Times New Roman"/>
            <w:sz w:val="24"/>
            <w:szCs w:val="24"/>
            <w:lang w:eastAsia="ru-RU"/>
          </w:rPr>
          <w:t>Порядк</w:t>
        </w:r>
      </w:hyperlink>
      <w:r w:rsidRPr="001A6ED9">
        <w:rPr>
          <w:rFonts w:ascii="Times New Roman" w:hAnsi="Times New Roman" w:cs="Times New Roman"/>
          <w:sz w:val="24"/>
          <w:szCs w:val="24"/>
        </w:rPr>
        <w:t>ом</w:t>
      </w:r>
      <w:r w:rsidRPr="001A6ED9">
        <w:rPr>
          <w:rFonts w:ascii="Times New Roman" w:eastAsia="Times New Roman" w:hAnsi="Times New Roman" w:cs="Times New Roman"/>
          <w:sz w:val="24"/>
          <w:szCs w:val="24"/>
          <w:lang w:eastAsia="ru-RU"/>
        </w:rPr>
        <w:t xml:space="preserve"> осуществления </w:t>
      </w:r>
      <w:r w:rsidRPr="001A6ED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1A6ED9">
        <w:rPr>
          <w:rFonts w:ascii="Times New Roman" w:eastAsia="Times New Roman" w:hAnsi="Times New Roman" w:cs="Times New Roman"/>
          <w:sz w:val="24"/>
          <w:szCs w:val="24"/>
          <w:lang w:eastAsia="ru-RU"/>
        </w:rPr>
        <w:t>являю</w:t>
      </w:r>
      <w:r w:rsidRPr="001A6ED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Pr="001A6ED9"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A04E7F">
        <w:rPr>
          <w:rFonts w:ascii="Times New Roman" w:hAnsi="Times New Roman" w:cs="Times New Roman"/>
          <w:sz w:val="24"/>
          <w:szCs w:val="24"/>
        </w:rPr>
        <w:t>внутренн</w:t>
      </w:r>
      <w:r>
        <w:rPr>
          <w:rFonts w:ascii="Times New Roman" w:hAnsi="Times New Roman" w:cs="Times New Roman"/>
          <w:sz w:val="24"/>
          <w:szCs w:val="24"/>
        </w:rPr>
        <w:t>ему</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ому</w:t>
      </w:r>
      <w:r w:rsidRPr="00A04E7F">
        <w:rPr>
          <w:rFonts w:ascii="Times New Roman" w:hAnsi="Times New Roman" w:cs="Times New Roman"/>
          <w:sz w:val="24"/>
          <w:szCs w:val="24"/>
        </w:rPr>
        <w:t xml:space="preserve"> аудит</w:t>
      </w:r>
      <w:r>
        <w:rPr>
          <w:rFonts w:ascii="Times New Roman" w:hAnsi="Times New Roman" w:cs="Times New Roman"/>
          <w:sz w:val="24"/>
          <w:szCs w:val="24"/>
        </w:rPr>
        <w:t>у</w:t>
      </w:r>
      <w:r>
        <w:rPr>
          <w:rFonts w:ascii="Times New Roman" w:eastAsia="Times New Roman" w:hAnsi="Times New Roman" w:cs="Times New Roman"/>
          <w:sz w:val="24"/>
          <w:szCs w:val="24"/>
          <w:lang w:eastAsia="ru-RU"/>
        </w:rPr>
        <w:t xml:space="preserve"> возложено на отдел ведомственного контроля, штатной и фактической численностью 3 единицы, отдел государственных закупок (в части проверок межбюджетных трансфертов) штатной и фактической численностью 3 единицы.</w:t>
      </w:r>
    </w:p>
    <w:p w:rsidR="00B36094" w:rsidRPr="00CA2BBD" w:rsidRDefault="00B36094" w:rsidP="00B360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Незначительный</w:t>
      </w:r>
      <w:r w:rsidRPr="00CA2BBD">
        <w:rPr>
          <w:rFonts w:ascii="Times New Roman" w:eastAsia="Times New Roman" w:hAnsi="Times New Roman" w:cs="Times New Roman"/>
          <w:sz w:val="24"/>
          <w:szCs w:val="24"/>
          <w:lang w:eastAsia="ru-RU"/>
        </w:rPr>
        <w:t xml:space="preserve"> уровень охвата контрольными мероприятиями подведомственных учреждений, </w:t>
      </w:r>
      <w:r>
        <w:rPr>
          <w:rFonts w:ascii="Times New Roman" w:eastAsia="Times New Roman" w:hAnsi="Times New Roman" w:cs="Times New Roman"/>
          <w:sz w:val="24"/>
          <w:szCs w:val="24"/>
          <w:lang w:eastAsia="ru-RU"/>
        </w:rPr>
        <w:t xml:space="preserve">многолетние периоды деятельности подведомственных учреждений, не </w:t>
      </w:r>
      <w:r>
        <w:rPr>
          <w:rFonts w:ascii="Times New Roman" w:eastAsia="Times New Roman" w:hAnsi="Times New Roman" w:cs="Times New Roman"/>
          <w:sz w:val="24"/>
          <w:szCs w:val="24"/>
          <w:lang w:eastAsia="ru-RU"/>
        </w:rPr>
        <w:lastRenderedPageBreak/>
        <w:t xml:space="preserve">охваченные внутренним финансовым контролем, </w:t>
      </w:r>
      <w:r w:rsidRPr="00CA2BBD">
        <w:rPr>
          <w:rFonts w:ascii="Times New Roman" w:eastAsia="Times New Roman" w:hAnsi="Times New Roman" w:cs="Times New Roman"/>
          <w:sz w:val="24"/>
          <w:szCs w:val="24"/>
          <w:lang w:eastAsia="ru-RU"/>
        </w:rPr>
        <w:t xml:space="preserve">отсутствие системности в </w:t>
      </w:r>
      <w:r w:rsidRPr="00CA2BBD">
        <w:rPr>
          <w:rFonts w:ascii="Times New Roman" w:hAnsi="Times New Roman" w:cs="Times New Roman"/>
          <w:sz w:val="24"/>
          <w:szCs w:val="24"/>
        </w:rPr>
        <w:t>периодичности проведения проверок подведомственных учреждений</w:t>
      </w:r>
      <w:r w:rsidRPr="00CA2B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крайне </w:t>
      </w:r>
      <w:r w:rsidRPr="00CA2BBD">
        <w:rPr>
          <w:rFonts w:ascii="Times New Roman" w:eastAsia="Times New Roman" w:hAnsi="Times New Roman" w:cs="Times New Roman"/>
          <w:sz w:val="24"/>
          <w:szCs w:val="24"/>
          <w:lang w:eastAsia="ru-RU"/>
        </w:rPr>
        <w:t xml:space="preserve">низкий процент устранения выявленных нарушений позволяют </w:t>
      </w:r>
      <w:r>
        <w:rPr>
          <w:rFonts w:ascii="Times New Roman" w:eastAsia="Times New Roman" w:hAnsi="Times New Roman" w:cs="Times New Roman"/>
          <w:sz w:val="24"/>
          <w:szCs w:val="24"/>
          <w:lang w:eastAsia="ru-RU"/>
        </w:rPr>
        <w:t>отмети</w:t>
      </w:r>
      <w:r w:rsidRPr="00CA2BBD">
        <w:rPr>
          <w:rFonts w:ascii="Times New Roman" w:eastAsia="Times New Roman" w:hAnsi="Times New Roman" w:cs="Times New Roman"/>
          <w:sz w:val="24"/>
          <w:szCs w:val="24"/>
          <w:lang w:eastAsia="ru-RU"/>
        </w:rPr>
        <w:t>ть низкий уровень организации и осуществления министерством социальной защиты населения как главным распорядителем бюджетных средств полномочий в части внутреннего финансового контроля.</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2BBD">
        <w:rPr>
          <w:rFonts w:ascii="Times New Roman" w:eastAsia="Times New Roman" w:hAnsi="Times New Roman" w:cs="Times New Roman"/>
          <w:b/>
          <w:sz w:val="24"/>
          <w:szCs w:val="24"/>
          <w:lang w:eastAsia="ru-RU"/>
        </w:rPr>
        <w:t xml:space="preserve">Министерством культуры и </w:t>
      </w:r>
      <w:r>
        <w:rPr>
          <w:rFonts w:ascii="Times New Roman" w:eastAsia="Times New Roman" w:hAnsi="Times New Roman" w:cs="Times New Roman"/>
          <w:b/>
          <w:sz w:val="24"/>
          <w:szCs w:val="24"/>
          <w:lang w:eastAsia="ru-RU"/>
        </w:rPr>
        <w:t>национальной политики</w:t>
      </w:r>
      <w:r w:rsidRPr="00107640">
        <w:rPr>
          <w:rFonts w:ascii="Times New Roman" w:eastAsia="Times New Roman" w:hAnsi="Times New Roman" w:cs="Times New Roman"/>
          <w:b/>
          <w:sz w:val="24"/>
          <w:szCs w:val="24"/>
          <w:lang w:eastAsia="ru-RU"/>
        </w:rPr>
        <w:t xml:space="preserve"> Амурской области</w:t>
      </w:r>
      <w:r>
        <w:rPr>
          <w:rFonts w:ascii="Times New Roman" w:eastAsia="Times New Roman" w:hAnsi="Times New Roman" w:cs="Times New Roman"/>
          <w:b/>
          <w:sz w:val="24"/>
          <w:szCs w:val="24"/>
          <w:lang w:eastAsia="ru-RU"/>
        </w:rPr>
        <w:t>,</w:t>
      </w:r>
      <w:r w:rsidRPr="00107640">
        <w:rPr>
          <w:rFonts w:ascii="Times New Roman" w:eastAsia="Times New Roman" w:hAnsi="Times New Roman" w:cs="Times New Roman"/>
          <w:sz w:val="24"/>
          <w:szCs w:val="24"/>
          <w:lang w:eastAsia="ru-RU"/>
        </w:rPr>
        <w:t xml:space="preserve"> при наличии 1</w:t>
      </w:r>
      <w:r>
        <w:rPr>
          <w:rFonts w:ascii="Times New Roman" w:eastAsia="Times New Roman" w:hAnsi="Times New Roman" w:cs="Times New Roman"/>
          <w:sz w:val="24"/>
          <w:szCs w:val="24"/>
          <w:lang w:eastAsia="ru-RU"/>
        </w:rPr>
        <w:t>0</w:t>
      </w:r>
      <w:r w:rsidRPr="00107640">
        <w:rPr>
          <w:rFonts w:ascii="Times New Roman" w:eastAsia="Times New Roman" w:hAnsi="Times New Roman" w:cs="Times New Roman"/>
          <w:sz w:val="24"/>
          <w:szCs w:val="24"/>
          <w:lang w:eastAsia="ru-RU"/>
        </w:rPr>
        <w:t xml:space="preserve"> подведомственных учреж</w:t>
      </w:r>
      <w:r>
        <w:rPr>
          <w:rFonts w:ascii="Times New Roman" w:eastAsia="Times New Roman" w:hAnsi="Times New Roman" w:cs="Times New Roman"/>
          <w:sz w:val="24"/>
          <w:szCs w:val="24"/>
          <w:lang w:eastAsia="ru-RU"/>
        </w:rPr>
        <w:t>дений с объемом финансирования 347662</w:t>
      </w:r>
      <w:r w:rsidRPr="00107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107640">
        <w:rPr>
          <w:rFonts w:ascii="Times New Roman" w:eastAsia="Times New Roman" w:hAnsi="Times New Roman" w:cs="Times New Roman"/>
          <w:sz w:val="24"/>
          <w:szCs w:val="24"/>
          <w:lang w:eastAsia="ru-RU"/>
        </w:rPr>
        <w:t xml:space="preserve"> тыс. рублей и объем</w:t>
      </w:r>
      <w:r>
        <w:rPr>
          <w:rFonts w:ascii="Times New Roman" w:eastAsia="Times New Roman" w:hAnsi="Times New Roman" w:cs="Times New Roman"/>
          <w:sz w:val="24"/>
          <w:szCs w:val="24"/>
          <w:lang w:eastAsia="ru-RU"/>
        </w:rPr>
        <w:t>ом</w:t>
      </w:r>
      <w:r w:rsidRPr="00107640">
        <w:rPr>
          <w:rFonts w:ascii="Times New Roman" w:eastAsia="Times New Roman" w:hAnsi="Times New Roman" w:cs="Times New Roman"/>
          <w:sz w:val="24"/>
          <w:szCs w:val="24"/>
          <w:lang w:eastAsia="ru-RU"/>
        </w:rPr>
        <w:t xml:space="preserve"> выделенных </w:t>
      </w:r>
      <w:r>
        <w:rPr>
          <w:rFonts w:ascii="Times New Roman" w:eastAsia="Times New Roman" w:hAnsi="Times New Roman" w:cs="Times New Roman"/>
          <w:sz w:val="24"/>
          <w:szCs w:val="24"/>
          <w:lang w:eastAsia="ru-RU"/>
        </w:rPr>
        <w:t>межбюджетных трансфертов</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размере 33581</w:t>
      </w:r>
      <w:r w:rsidRPr="00107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107640">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w:t>
      </w:r>
      <w:r w:rsidRPr="00107640">
        <w:rPr>
          <w:rFonts w:ascii="Times New Roman" w:eastAsia="Times New Roman" w:hAnsi="Times New Roman" w:cs="Times New Roman"/>
          <w:sz w:val="24"/>
          <w:szCs w:val="24"/>
          <w:lang w:eastAsia="ru-RU"/>
        </w:rPr>
        <w:t xml:space="preserve">ведомственным контролем в </w:t>
      </w:r>
      <w:r w:rsidRPr="0023487A">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3487A">
        <w:rPr>
          <w:rFonts w:ascii="Times New Roman" w:eastAsia="Times New Roman" w:hAnsi="Times New Roman" w:cs="Times New Roman"/>
          <w:sz w:val="24"/>
          <w:szCs w:val="24"/>
          <w:lang w:eastAsia="ru-RU"/>
        </w:rPr>
        <w:t xml:space="preserve"> году </w:t>
      </w:r>
      <w:r w:rsidRPr="009A2425">
        <w:rPr>
          <w:rFonts w:ascii="Times New Roman" w:eastAsia="Times New Roman" w:hAnsi="Times New Roman" w:cs="Times New Roman"/>
          <w:sz w:val="24"/>
          <w:szCs w:val="24"/>
          <w:lang w:eastAsia="ru-RU"/>
        </w:rPr>
        <w:t xml:space="preserve">охвачено 2 подведомственных учреждения </w:t>
      </w:r>
      <w:r w:rsidRPr="009A2425">
        <w:rPr>
          <w:rFonts w:ascii="Times New Roman" w:eastAsia="Times New Roman" w:hAnsi="Times New Roman" w:cs="Times New Roman"/>
          <w:sz w:val="24"/>
          <w:szCs w:val="24"/>
          <w:lang w:eastAsia="ru-RU"/>
        </w:rPr>
        <w:br/>
        <w:t xml:space="preserve">(в 2015 году </w:t>
      </w:r>
      <w:r>
        <w:rPr>
          <w:rFonts w:ascii="Times New Roman" w:eastAsia="Times New Roman" w:hAnsi="Times New Roman" w:cs="Times New Roman"/>
          <w:sz w:val="24"/>
          <w:szCs w:val="24"/>
          <w:lang w:eastAsia="ru-RU"/>
        </w:rPr>
        <w:t>–</w:t>
      </w:r>
      <w:r w:rsidRPr="009A2425">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в 2016 году - 2</w:t>
      </w:r>
      <w:r w:rsidRPr="009A2425">
        <w:rPr>
          <w:rFonts w:ascii="Times New Roman" w:eastAsia="Times New Roman" w:hAnsi="Times New Roman" w:cs="Times New Roman"/>
          <w:sz w:val="24"/>
          <w:szCs w:val="24"/>
          <w:lang w:eastAsia="ru-RU"/>
        </w:rPr>
        <w:t xml:space="preserve">), охват проверками выделенных объемов </w:t>
      </w:r>
      <w:r w:rsidRPr="0023487A">
        <w:rPr>
          <w:rFonts w:ascii="Times New Roman" w:eastAsia="Times New Roman" w:hAnsi="Times New Roman" w:cs="Times New Roman"/>
          <w:sz w:val="24"/>
          <w:szCs w:val="24"/>
          <w:lang w:eastAsia="ru-RU"/>
        </w:rPr>
        <w:t xml:space="preserve">бюджетных средств составил </w:t>
      </w:r>
      <w:r>
        <w:rPr>
          <w:rFonts w:ascii="Times New Roman" w:eastAsia="Times New Roman" w:hAnsi="Times New Roman" w:cs="Times New Roman"/>
          <w:sz w:val="24"/>
          <w:szCs w:val="24"/>
          <w:lang w:eastAsia="ru-RU"/>
        </w:rPr>
        <w:t>10,7 процента (в 2015 году - 18,0</w:t>
      </w:r>
      <w:r w:rsidRPr="0023487A">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 в 2016 году – 7,8 процента).</w:t>
      </w:r>
      <w:r w:rsidRPr="002348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23487A">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7</w:t>
      </w:r>
      <w:r w:rsidRPr="0023487A">
        <w:rPr>
          <w:rFonts w:ascii="Times New Roman" w:eastAsia="Times New Roman" w:hAnsi="Times New Roman" w:cs="Times New Roman"/>
          <w:sz w:val="24"/>
          <w:szCs w:val="24"/>
          <w:lang w:eastAsia="ru-RU"/>
        </w:rPr>
        <w:t xml:space="preserve"> году проведен</w:t>
      </w:r>
      <w:r>
        <w:rPr>
          <w:rFonts w:ascii="Times New Roman" w:eastAsia="Times New Roman" w:hAnsi="Times New Roman" w:cs="Times New Roman"/>
          <w:sz w:val="24"/>
          <w:szCs w:val="24"/>
          <w:lang w:eastAsia="ru-RU"/>
        </w:rPr>
        <w:t xml:space="preserve">о 4 проверки соблюдения условий предоставления иных межбюджетных трансфертов, которыми охвачен объем финансирования в размере 551,9 тыс. рублей, что составляет 1,8 процента объема выделенных министерством межбюджетных трансфертов </w:t>
      </w:r>
      <w:r w:rsidRPr="0023487A">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23487A">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w:t>
      </w:r>
      <w:r w:rsidRPr="002348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или 0,03 процента, в 2016 году – 5, или 4,8 процента соответственно</w:t>
      </w:r>
      <w:r w:rsidRPr="0023487A">
        <w:rPr>
          <w:rFonts w:ascii="Times New Roman" w:eastAsia="Times New Roman" w:hAnsi="Times New Roman" w:cs="Times New Roman"/>
          <w:sz w:val="24"/>
          <w:szCs w:val="24"/>
          <w:lang w:eastAsia="ru-RU"/>
        </w:rPr>
        <w:t>)</w:t>
      </w:r>
      <w:r w:rsidR="004C3485">
        <w:rPr>
          <w:rFonts w:ascii="Times New Roman" w:eastAsia="Times New Roman" w:hAnsi="Times New Roman" w:cs="Times New Roman"/>
          <w:sz w:val="24"/>
          <w:szCs w:val="24"/>
          <w:lang w:eastAsia="ru-RU"/>
        </w:rPr>
        <w:t>.</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проверок установлено финансовых нарушений в объеме 261,9 тыс. рублей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1739,2 </w:t>
      </w:r>
      <w:r w:rsidRPr="00107640">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xml:space="preserve">,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107640">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562,9 </w:t>
      </w:r>
      <w:r w:rsidRPr="00107640">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w:t>
      </w:r>
      <w:r w:rsidRPr="00107640">
        <w:rPr>
          <w:rFonts w:ascii="Times New Roman" w:eastAsia="Times New Roman" w:hAnsi="Times New Roman" w:cs="Times New Roman"/>
          <w:sz w:val="24"/>
          <w:szCs w:val="24"/>
          <w:lang w:eastAsia="ru-RU"/>
        </w:rPr>
        <w:t xml:space="preserve"> устранен</w:t>
      </w:r>
      <w:r>
        <w:rPr>
          <w:rFonts w:ascii="Times New Roman" w:eastAsia="Times New Roman" w:hAnsi="Times New Roman" w:cs="Times New Roman"/>
          <w:sz w:val="24"/>
          <w:szCs w:val="24"/>
          <w:lang w:eastAsia="ru-RU"/>
        </w:rPr>
        <w:t>о</w:t>
      </w:r>
      <w:r w:rsidRPr="00107640">
        <w:rPr>
          <w:rFonts w:ascii="Times New Roman" w:eastAsia="Times New Roman" w:hAnsi="Times New Roman" w:cs="Times New Roman"/>
          <w:sz w:val="24"/>
          <w:szCs w:val="24"/>
          <w:lang w:eastAsia="ru-RU"/>
        </w:rPr>
        <w:t xml:space="preserve"> финансовых нарушений </w:t>
      </w:r>
      <w:r>
        <w:rPr>
          <w:rFonts w:ascii="Times New Roman" w:eastAsia="Times New Roman" w:hAnsi="Times New Roman" w:cs="Times New Roman"/>
          <w:sz w:val="24"/>
          <w:szCs w:val="24"/>
          <w:lang w:eastAsia="ru-RU"/>
        </w:rPr>
        <w:t>на сумму 15,4 тыс. рублей, или 5,9 процента (в 2016 году - 15,9 тыс. рублей, или 2,8 процента), что свидетельствует о крайне низкой эффективности внутреннего финансового контроля министерства.</w:t>
      </w:r>
    </w:p>
    <w:p w:rsidR="00B36094" w:rsidRPr="00F02766"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02766">
        <w:rPr>
          <w:rFonts w:ascii="Times New Roman" w:eastAsia="Times New Roman" w:hAnsi="Times New Roman" w:cs="Times New Roman"/>
          <w:sz w:val="24"/>
          <w:szCs w:val="24"/>
          <w:lang w:eastAsia="ru-RU"/>
        </w:rPr>
        <w:t>Кроме того, контрольно-счетная палата области отмечает наличие фактов неправильной классификации финансовых нарушений, так согласно представленной информации внутренним финансовым контролем установлено нецелевое использование бюджетных средств в размере 100,0 тыс. рублей. При направлении материалов проверки в министерство финансов Амурской области для применения бюджетных мер принуждения, органом государственного внутреннего контроля факт нецелевого использования бюджетных средст</w:t>
      </w:r>
      <w:r w:rsidR="004C3485">
        <w:rPr>
          <w:rFonts w:ascii="Times New Roman" w:eastAsia="Times New Roman" w:hAnsi="Times New Roman" w:cs="Times New Roman"/>
          <w:sz w:val="24"/>
          <w:szCs w:val="24"/>
          <w:lang w:eastAsia="ru-RU"/>
        </w:rPr>
        <w:t>в не подтвержден.</w:t>
      </w:r>
    </w:p>
    <w:p w:rsidR="00B36094" w:rsidRPr="00950BBB"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BBB">
        <w:rPr>
          <w:rFonts w:ascii="Times New Roman" w:eastAsia="Times New Roman" w:hAnsi="Times New Roman" w:cs="Times New Roman"/>
          <w:sz w:val="24"/>
          <w:szCs w:val="24"/>
          <w:lang w:eastAsia="ru-RU"/>
        </w:rPr>
        <w:t xml:space="preserve">Согласно информации о датах последних ревизий и проверок по отдельным учреждениям проверки внутреннего контроля министерством не проводились в течение </w:t>
      </w:r>
      <w:r w:rsidRPr="00950BBB">
        <w:rPr>
          <w:rFonts w:ascii="Times New Roman" w:eastAsia="Times New Roman" w:hAnsi="Times New Roman" w:cs="Times New Roman"/>
          <w:sz w:val="24"/>
          <w:szCs w:val="24"/>
          <w:lang w:eastAsia="ru-RU"/>
        </w:rPr>
        <w:br/>
        <w:t>4-</w:t>
      </w:r>
      <w:r>
        <w:rPr>
          <w:rFonts w:ascii="Times New Roman" w:eastAsia="Times New Roman" w:hAnsi="Times New Roman" w:cs="Times New Roman"/>
          <w:sz w:val="24"/>
          <w:szCs w:val="24"/>
          <w:lang w:eastAsia="ru-RU"/>
        </w:rPr>
        <w:t>5 лет</w:t>
      </w:r>
      <w:r w:rsidR="004C3485">
        <w:rPr>
          <w:rFonts w:ascii="Times New Roman" w:eastAsia="Times New Roman" w:hAnsi="Times New Roman" w:cs="Times New Roman"/>
          <w:sz w:val="24"/>
          <w:szCs w:val="24"/>
          <w:lang w:eastAsia="ru-RU"/>
        </w:rPr>
        <w:t>.</w:t>
      </w:r>
    </w:p>
    <w:p w:rsidR="00B36094" w:rsidRPr="001A6ED9"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Анализом представленной информации установлено, что в</w:t>
      </w:r>
      <w:r w:rsidRPr="003341EF">
        <w:rPr>
          <w:rFonts w:ascii="Times New Roman" w:eastAsia="Times New Roman" w:hAnsi="Times New Roman" w:cs="Times New Roman"/>
          <w:sz w:val="24"/>
          <w:szCs w:val="24"/>
          <w:lang w:eastAsia="ru-RU"/>
        </w:rPr>
        <w:t xml:space="preserve"> </w:t>
      </w:r>
      <w:r w:rsidRPr="001A6ED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1A6ED9">
        <w:rPr>
          <w:rFonts w:ascii="Times New Roman" w:eastAsia="Times New Roman" w:hAnsi="Times New Roman" w:cs="Times New Roman"/>
          <w:sz w:val="24"/>
          <w:szCs w:val="24"/>
          <w:lang w:eastAsia="ru-RU"/>
        </w:rPr>
        <w:t xml:space="preserve"> году</w:t>
      </w:r>
      <w:r w:rsidRPr="00F02766">
        <w:rPr>
          <w:sz w:val="24"/>
          <w:szCs w:val="24"/>
        </w:rPr>
        <w:t xml:space="preserve"> </w:t>
      </w:r>
      <w:r w:rsidRPr="00F02766">
        <w:rPr>
          <w:rFonts w:ascii="Times New Roman" w:eastAsia="Times New Roman" w:hAnsi="Times New Roman" w:cs="Times New Roman"/>
          <w:sz w:val="24"/>
          <w:szCs w:val="24"/>
          <w:lang w:eastAsia="ru-RU"/>
        </w:rPr>
        <w:t>не подготовлено ни одного заключения по результатам проведения</w:t>
      </w:r>
      <w:r w:rsidRPr="001A6ED9">
        <w:rPr>
          <w:rFonts w:ascii="Times New Roman" w:eastAsia="Times New Roman" w:hAnsi="Times New Roman" w:cs="Times New Roman"/>
          <w:sz w:val="24"/>
          <w:szCs w:val="24"/>
          <w:lang w:eastAsia="ru-RU"/>
        </w:rPr>
        <w:t xml:space="preserve"> внутреннего финансового аудита, вопросами которого </w:t>
      </w:r>
      <w:r w:rsidRPr="001A6ED9">
        <w:rPr>
          <w:rFonts w:ascii="Times New Roman" w:hAnsi="Times New Roman" w:cs="Times New Roman"/>
          <w:sz w:val="24"/>
          <w:szCs w:val="24"/>
        </w:rPr>
        <w:t>в соответствии с «</w:t>
      </w:r>
      <w:hyperlink r:id="rId62" w:history="1">
        <w:r w:rsidRPr="001A6ED9">
          <w:rPr>
            <w:rFonts w:ascii="Times New Roman" w:eastAsia="Times New Roman" w:hAnsi="Times New Roman" w:cs="Times New Roman"/>
            <w:sz w:val="24"/>
            <w:szCs w:val="24"/>
            <w:lang w:eastAsia="ru-RU"/>
          </w:rPr>
          <w:t>Порядк</w:t>
        </w:r>
      </w:hyperlink>
      <w:r w:rsidRPr="001A6ED9">
        <w:rPr>
          <w:rFonts w:ascii="Times New Roman" w:hAnsi="Times New Roman" w:cs="Times New Roman"/>
          <w:sz w:val="24"/>
          <w:szCs w:val="24"/>
        </w:rPr>
        <w:t>ом</w:t>
      </w:r>
      <w:r w:rsidRPr="001A6ED9">
        <w:rPr>
          <w:rFonts w:ascii="Times New Roman" w:eastAsia="Times New Roman" w:hAnsi="Times New Roman" w:cs="Times New Roman"/>
          <w:sz w:val="24"/>
          <w:szCs w:val="24"/>
          <w:lang w:eastAsia="ru-RU"/>
        </w:rPr>
        <w:t xml:space="preserve"> осуществления </w:t>
      </w:r>
      <w:r w:rsidRPr="001A6ED9">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1A6ED9">
        <w:rPr>
          <w:rFonts w:ascii="Times New Roman" w:eastAsia="Times New Roman" w:hAnsi="Times New Roman" w:cs="Times New Roman"/>
          <w:sz w:val="24"/>
          <w:szCs w:val="24"/>
          <w:lang w:eastAsia="ru-RU"/>
        </w:rPr>
        <w:t>являю</w:t>
      </w:r>
      <w:r w:rsidRPr="001A6ED9">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A04E7F">
        <w:rPr>
          <w:rFonts w:ascii="Times New Roman" w:hAnsi="Times New Roman" w:cs="Times New Roman"/>
          <w:sz w:val="24"/>
          <w:szCs w:val="24"/>
        </w:rPr>
        <w:t>внутренн</w:t>
      </w:r>
      <w:r>
        <w:rPr>
          <w:rFonts w:ascii="Times New Roman" w:hAnsi="Times New Roman" w:cs="Times New Roman"/>
          <w:sz w:val="24"/>
          <w:szCs w:val="24"/>
        </w:rPr>
        <w:t>ему</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ому</w:t>
      </w:r>
      <w:r w:rsidRPr="00A04E7F">
        <w:rPr>
          <w:rFonts w:ascii="Times New Roman" w:hAnsi="Times New Roman" w:cs="Times New Roman"/>
          <w:sz w:val="24"/>
          <w:szCs w:val="24"/>
        </w:rPr>
        <w:t xml:space="preserve"> аудит</w:t>
      </w:r>
      <w:r>
        <w:rPr>
          <w:rFonts w:ascii="Times New Roman" w:hAnsi="Times New Roman" w:cs="Times New Roman"/>
          <w:sz w:val="24"/>
          <w:szCs w:val="24"/>
        </w:rPr>
        <w:t>у</w:t>
      </w:r>
      <w:r>
        <w:rPr>
          <w:rFonts w:ascii="Times New Roman" w:eastAsia="Times New Roman" w:hAnsi="Times New Roman" w:cs="Times New Roman"/>
          <w:sz w:val="24"/>
          <w:szCs w:val="24"/>
          <w:lang w:eastAsia="ru-RU"/>
        </w:rPr>
        <w:t xml:space="preserve"> возложено на ведущего консультанта финансово-экономического отдела,</w:t>
      </w:r>
      <w:r w:rsidRPr="006010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2018 год запланировано проведение проверок двух подведомственных учреждений.</w:t>
      </w:r>
    </w:p>
    <w:p w:rsidR="00B36094" w:rsidRPr="00107640"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Проведенный анализ</w:t>
      </w:r>
      <w:r w:rsidRPr="0060104F">
        <w:rPr>
          <w:rFonts w:ascii="Times New Roman" w:eastAsia="Times New Roman" w:hAnsi="Times New Roman" w:cs="Times New Roman"/>
          <w:sz w:val="24"/>
          <w:szCs w:val="24"/>
          <w:lang w:eastAsia="ru-RU"/>
        </w:rPr>
        <w:t xml:space="preserve"> свидетельствует о низком уровне организации </w:t>
      </w:r>
      <w:r>
        <w:rPr>
          <w:rFonts w:ascii="Times New Roman" w:eastAsia="Times New Roman" w:hAnsi="Times New Roman" w:cs="Times New Roman"/>
          <w:sz w:val="24"/>
          <w:szCs w:val="24"/>
          <w:lang w:eastAsia="ru-RU"/>
        </w:rPr>
        <w:t>и не</w:t>
      </w:r>
      <w:r w:rsidRPr="00EB5CD7">
        <w:rPr>
          <w:rFonts w:ascii="Times New Roman" w:eastAsia="Times New Roman" w:hAnsi="Times New Roman" w:cs="Times New Roman"/>
          <w:sz w:val="24"/>
          <w:szCs w:val="24"/>
          <w:lang w:eastAsia="ru-RU"/>
        </w:rPr>
        <w:t xml:space="preserve">обеспечении министерством </w:t>
      </w:r>
      <w:r>
        <w:rPr>
          <w:rFonts w:ascii="Times New Roman" w:eastAsia="Times New Roman" w:hAnsi="Times New Roman" w:cs="Times New Roman"/>
          <w:sz w:val="24"/>
          <w:szCs w:val="24"/>
          <w:lang w:eastAsia="ru-RU"/>
        </w:rPr>
        <w:t xml:space="preserve">культуры и архивного дела </w:t>
      </w:r>
      <w:r w:rsidRPr="0060104F">
        <w:rPr>
          <w:rFonts w:ascii="Times New Roman" w:eastAsia="Times New Roman" w:hAnsi="Times New Roman" w:cs="Times New Roman"/>
          <w:sz w:val="24"/>
          <w:szCs w:val="24"/>
          <w:lang w:eastAsia="ru-RU"/>
        </w:rPr>
        <w:t xml:space="preserve">внутреннего финансового контроля </w:t>
      </w:r>
      <w:r>
        <w:rPr>
          <w:rFonts w:ascii="Times New Roman" w:eastAsia="Times New Roman" w:hAnsi="Times New Roman" w:cs="Times New Roman"/>
          <w:sz w:val="24"/>
          <w:szCs w:val="24"/>
          <w:lang w:eastAsia="ru-RU"/>
        </w:rPr>
        <w:t xml:space="preserve">и </w:t>
      </w:r>
      <w:r w:rsidRPr="00A04E7F">
        <w:rPr>
          <w:rFonts w:ascii="Times New Roman" w:hAnsi="Times New Roman" w:cs="Times New Roman"/>
          <w:sz w:val="24"/>
          <w:szCs w:val="24"/>
        </w:rPr>
        <w:t>внутренн</w:t>
      </w:r>
      <w:r>
        <w:rPr>
          <w:rFonts w:ascii="Times New Roman" w:hAnsi="Times New Roman" w:cs="Times New Roman"/>
          <w:sz w:val="24"/>
          <w:szCs w:val="24"/>
        </w:rPr>
        <w:t>его</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ого</w:t>
      </w:r>
      <w:r w:rsidRPr="00A04E7F">
        <w:rPr>
          <w:rFonts w:ascii="Times New Roman" w:hAnsi="Times New Roman" w:cs="Times New Roman"/>
          <w:sz w:val="24"/>
          <w:szCs w:val="24"/>
        </w:rPr>
        <w:t xml:space="preserve"> аудит</w:t>
      </w:r>
      <w:r w:rsidR="004C3485">
        <w:rPr>
          <w:rFonts w:ascii="Times New Roman" w:hAnsi="Times New Roman" w:cs="Times New Roman"/>
          <w:sz w:val="24"/>
          <w:szCs w:val="24"/>
        </w:rPr>
        <w:t>а.</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0ED5">
        <w:rPr>
          <w:rFonts w:ascii="Times New Roman" w:eastAsia="Times New Roman" w:hAnsi="Times New Roman" w:cs="Times New Roman"/>
          <w:b/>
          <w:sz w:val="24"/>
          <w:szCs w:val="24"/>
          <w:lang w:eastAsia="ru-RU"/>
        </w:rPr>
        <w:t>Министерством сельского хозяйства Амурской области</w:t>
      </w:r>
      <w:r>
        <w:rPr>
          <w:rFonts w:ascii="Times New Roman" w:eastAsia="Times New Roman" w:hAnsi="Times New Roman" w:cs="Times New Roman"/>
          <w:b/>
          <w:sz w:val="24"/>
          <w:szCs w:val="24"/>
          <w:lang w:eastAsia="ru-RU"/>
        </w:rPr>
        <w:t>,</w:t>
      </w:r>
      <w:r w:rsidRPr="00600ED5">
        <w:rPr>
          <w:rFonts w:ascii="Times New Roman" w:eastAsia="Times New Roman" w:hAnsi="Times New Roman" w:cs="Times New Roman"/>
          <w:sz w:val="24"/>
          <w:szCs w:val="24"/>
          <w:lang w:eastAsia="ru-RU"/>
        </w:rPr>
        <w:t xml:space="preserve"> при наличии двух подведомственных унитарных предприятий и объемах предоставленных юридическим лицам субсидий - 1</w:t>
      </w:r>
      <w:r>
        <w:rPr>
          <w:rFonts w:ascii="Times New Roman" w:eastAsia="Times New Roman" w:hAnsi="Times New Roman" w:cs="Times New Roman"/>
          <w:sz w:val="24"/>
          <w:szCs w:val="24"/>
          <w:lang w:eastAsia="ru-RU"/>
        </w:rPr>
        <w:t>337916</w:t>
      </w:r>
      <w:r w:rsidRPr="00600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600ED5">
        <w:rPr>
          <w:rFonts w:ascii="Times New Roman" w:eastAsia="Times New Roman" w:hAnsi="Times New Roman" w:cs="Times New Roman"/>
          <w:sz w:val="24"/>
          <w:szCs w:val="24"/>
          <w:lang w:eastAsia="ru-RU"/>
        </w:rPr>
        <w:t xml:space="preserve"> тыс. рублей, межбюджетных трансфертов – </w:t>
      </w:r>
      <w:r>
        <w:rPr>
          <w:rFonts w:ascii="Times New Roman" w:eastAsia="Times New Roman" w:hAnsi="Times New Roman" w:cs="Times New Roman"/>
          <w:sz w:val="24"/>
          <w:szCs w:val="24"/>
          <w:lang w:eastAsia="ru-RU"/>
        </w:rPr>
        <w:t>3</w:t>
      </w:r>
      <w:r w:rsidRPr="00600ED5">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39</w:t>
      </w:r>
      <w:r w:rsidRPr="00600ED5">
        <w:rPr>
          <w:rFonts w:ascii="Times New Roman" w:eastAsia="Times New Roman" w:hAnsi="Times New Roman" w:cs="Times New Roman"/>
          <w:sz w:val="24"/>
          <w:szCs w:val="24"/>
          <w:lang w:eastAsia="ru-RU"/>
        </w:rPr>
        <w:t>,3 тыс. рублей,</w:t>
      </w:r>
      <w:r w:rsidRPr="00600ED5">
        <w:rPr>
          <w:rFonts w:ascii="Times New Roman" w:eastAsia="Times New Roman" w:hAnsi="Times New Roman" w:cs="Times New Roman"/>
          <w:sz w:val="24"/>
          <w:szCs w:val="24"/>
          <w:lang w:eastAsia="ru-RU"/>
        </w:rPr>
        <w:br/>
        <w:t xml:space="preserve">в рамках осуществления ведомственного финансового контроля проведено </w:t>
      </w:r>
      <w:r>
        <w:rPr>
          <w:rFonts w:ascii="Times New Roman" w:eastAsia="Times New Roman" w:hAnsi="Times New Roman" w:cs="Times New Roman"/>
          <w:sz w:val="24"/>
          <w:szCs w:val="24"/>
          <w:lang w:eastAsia="ru-RU"/>
        </w:rPr>
        <w:t>30</w:t>
      </w:r>
      <w:r w:rsidRPr="00600ED5">
        <w:rPr>
          <w:rFonts w:ascii="Times New Roman" w:eastAsia="Times New Roman" w:hAnsi="Times New Roman" w:cs="Times New Roman"/>
          <w:sz w:val="24"/>
          <w:szCs w:val="24"/>
          <w:lang w:eastAsia="ru-RU"/>
        </w:rPr>
        <w:t xml:space="preserve"> контрольных мероприятий (в 2015 году </w:t>
      </w:r>
      <w:r>
        <w:rPr>
          <w:rFonts w:ascii="Times New Roman" w:eastAsia="Times New Roman" w:hAnsi="Times New Roman" w:cs="Times New Roman"/>
          <w:sz w:val="24"/>
          <w:szCs w:val="24"/>
          <w:lang w:eastAsia="ru-RU"/>
        </w:rPr>
        <w:t>–</w:t>
      </w:r>
      <w:r w:rsidRPr="00600ED5">
        <w:rPr>
          <w:rFonts w:ascii="Times New Roman" w:eastAsia="Times New Roman" w:hAnsi="Times New Roman" w:cs="Times New Roman"/>
          <w:sz w:val="24"/>
          <w:szCs w:val="24"/>
          <w:lang w:eastAsia="ru-RU"/>
        </w:rPr>
        <w:t xml:space="preserve"> 28</w:t>
      </w:r>
      <w:r>
        <w:rPr>
          <w:rFonts w:ascii="Times New Roman" w:eastAsia="Times New Roman" w:hAnsi="Times New Roman" w:cs="Times New Roman"/>
          <w:sz w:val="24"/>
          <w:szCs w:val="24"/>
          <w:lang w:eastAsia="ru-RU"/>
        </w:rPr>
        <w:t>, в 2016 году - 28</w:t>
      </w:r>
      <w:r w:rsidRPr="00600ED5">
        <w:rPr>
          <w:rFonts w:ascii="Times New Roman" w:eastAsia="Times New Roman" w:hAnsi="Times New Roman" w:cs="Times New Roman"/>
          <w:sz w:val="24"/>
          <w:szCs w:val="24"/>
          <w:lang w:eastAsia="ru-RU"/>
        </w:rPr>
        <w:t>), из которых 2</w:t>
      </w:r>
      <w:r>
        <w:rPr>
          <w:rFonts w:ascii="Times New Roman" w:eastAsia="Times New Roman" w:hAnsi="Times New Roman" w:cs="Times New Roman"/>
          <w:sz w:val="24"/>
          <w:szCs w:val="24"/>
          <w:lang w:eastAsia="ru-RU"/>
        </w:rPr>
        <w:t>5</w:t>
      </w:r>
      <w:r w:rsidRPr="00600ED5">
        <w:rPr>
          <w:rFonts w:ascii="Times New Roman" w:eastAsia="Times New Roman" w:hAnsi="Times New Roman" w:cs="Times New Roman"/>
          <w:sz w:val="24"/>
          <w:szCs w:val="24"/>
          <w:lang w:eastAsia="ru-RU"/>
        </w:rPr>
        <w:t xml:space="preserve"> проверок юридических лиц – получателей средств субсидий, </w:t>
      </w:r>
      <w:r>
        <w:rPr>
          <w:rFonts w:ascii="Times New Roman" w:eastAsia="Times New Roman" w:hAnsi="Times New Roman" w:cs="Times New Roman"/>
          <w:sz w:val="24"/>
          <w:szCs w:val="24"/>
          <w:lang w:eastAsia="ru-RU"/>
        </w:rPr>
        <w:t>5</w:t>
      </w:r>
      <w:r w:rsidRPr="00600ED5">
        <w:rPr>
          <w:rFonts w:ascii="Times New Roman" w:eastAsia="Times New Roman" w:hAnsi="Times New Roman" w:cs="Times New Roman"/>
          <w:sz w:val="24"/>
          <w:szCs w:val="24"/>
          <w:lang w:eastAsia="ru-RU"/>
        </w:rPr>
        <w:t xml:space="preserve"> провер</w:t>
      </w:r>
      <w:r>
        <w:rPr>
          <w:rFonts w:ascii="Times New Roman" w:eastAsia="Times New Roman" w:hAnsi="Times New Roman" w:cs="Times New Roman"/>
          <w:sz w:val="24"/>
          <w:szCs w:val="24"/>
          <w:lang w:eastAsia="ru-RU"/>
        </w:rPr>
        <w:t>о</w:t>
      </w:r>
      <w:r w:rsidRPr="00600ED5">
        <w:rPr>
          <w:rFonts w:ascii="Times New Roman" w:eastAsia="Times New Roman" w:hAnsi="Times New Roman" w:cs="Times New Roman"/>
          <w:sz w:val="24"/>
          <w:szCs w:val="24"/>
          <w:lang w:eastAsia="ru-RU"/>
        </w:rPr>
        <w:t xml:space="preserve">к органов местного самоуправления - получателей средств межбюджетных трансфертов. Проверками </w:t>
      </w:r>
      <w:r>
        <w:rPr>
          <w:rFonts w:ascii="Times New Roman" w:eastAsia="Times New Roman" w:hAnsi="Times New Roman" w:cs="Times New Roman"/>
          <w:sz w:val="24"/>
          <w:szCs w:val="24"/>
          <w:lang w:eastAsia="ru-RU"/>
        </w:rPr>
        <w:t>охвачено 9,7 процента</w:t>
      </w:r>
      <w:r w:rsidRPr="004629E7">
        <w:rPr>
          <w:rFonts w:ascii="Times New Roman" w:eastAsia="Times New Roman" w:hAnsi="Times New Roman" w:cs="Times New Roman"/>
          <w:sz w:val="24"/>
          <w:szCs w:val="24"/>
          <w:lang w:eastAsia="ru-RU"/>
        </w:rPr>
        <w:t xml:space="preserve"> объемов </w:t>
      </w:r>
      <w:r w:rsidRPr="004629E7">
        <w:rPr>
          <w:rFonts w:ascii="Times New Roman" w:eastAsia="Times New Roman" w:hAnsi="Times New Roman" w:cs="Times New Roman"/>
          <w:sz w:val="24"/>
          <w:szCs w:val="24"/>
          <w:lang w:eastAsia="ru-RU"/>
        </w:rPr>
        <w:lastRenderedPageBreak/>
        <w:t>финансирования в части субсидий юридическим лицам (в 201</w:t>
      </w:r>
      <w:r>
        <w:rPr>
          <w:rFonts w:ascii="Times New Roman" w:eastAsia="Times New Roman" w:hAnsi="Times New Roman" w:cs="Times New Roman"/>
          <w:sz w:val="24"/>
          <w:szCs w:val="24"/>
          <w:lang w:eastAsia="ru-RU"/>
        </w:rPr>
        <w:t>5</w:t>
      </w:r>
      <w:r w:rsidRPr="004629E7">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18,9 </w:t>
      </w:r>
      <w:r w:rsidRPr="004629E7">
        <w:rPr>
          <w:rFonts w:ascii="Times New Roman" w:eastAsia="Times New Roman" w:hAnsi="Times New Roman" w:cs="Times New Roman"/>
          <w:sz w:val="24"/>
          <w:szCs w:val="24"/>
          <w:lang w:eastAsia="ru-RU"/>
        </w:rPr>
        <w:t>процент</w:t>
      </w:r>
      <w:r>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br/>
      </w:r>
      <w:r w:rsidRPr="004629E7">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4629E7">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18,0 </w:t>
      </w:r>
      <w:r w:rsidRPr="004629E7">
        <w:rPr>
          <w:rFonts w:ascii="Times New Roman" w:eastAsia="Times New Roman" w:hAnsi="Times New Roman" w:cs="Times New Roman"/>
          <w:sz w:val="24"/>
          <w:szCs w:val="24"/>
          <w:lang w:eastAsia="ru-RU"/>
        </w:rPr>
        <w:t>процент</w:t>
      </w:r>
      <w:r>
        <w:rPr>
          <w:rFonts w:ascii="Times New Roman" w:eastAsia="Times New Roman" w:hAnsi="Times New Roman" w:cs="Times New Roman"/>
          <w:sz w:val="24"/>
          <w:szCs w:val="24"/>
          <w:lang w:eastAsia="ru-RU"/>
        </w:rPr>
        <w:t>ов</w:t>
      </w:r>
      <w:r w:rsidRPr="004629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9,7 процента объема выделенных министерством межбюджетных трансфертов </w:t>
      </w:r>
      <w:r w:rsidRPr="004629E7">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4629E7">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3,7 </w:t>
      </w:r>
      <w:r w:rsidRPr="004629E7">
        <w:rPr>
          <w:rFonts w:ascii="Times New Roman" w:eastAsia="Times New Roman" w:hAnsi="Times New Roman" w:cs="Times New Roman"/>
          <w:sz w:val="24"/>
          <w:szCs w:val="24"/>
          <w:lang w:eastAsia="ru-RU"/>
        </w:rPr>
        <w:t>процент</w:t>
      </w:r>
      <w:r>
        <w:rPr>
          <w:rFonts w:ascii="Times New Roman" w:eastAsia="Times New Roman" w:hAnsi="Times New Roman" w:cs="Times New Roman"/>
          <w:sz w:val="24"/>
          <w:szCs w:val="24"/>
          <w:lang w:eastAsia="ru-RU"/>
        </w:rPr>
        <w:t xml:space="preserve">а, </w:t>
      </w:r>
      <w:r w:rsidRPr="004629E7">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4629E7">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1,2 </w:t>
      </w:r>
      <w:r w:rsidRPr="004629E7">
        <w:rPr>
          <w:rFonts w:ascii="Times New Roman" w:eastAsia="Times New Roman" w:hAnsi="Times New Roman" w:cs="Times New Roman"/>
          <w:sz w:val="24"/>
          <w:szCs w:val="24"/>
          <w:lang w:eastAsia="ru-RU"/>
        </w:rPr>
        <w:t>процент</w:t>
      </w:r>
      <w:r>
        <w:rPr>
          <w:rFonts w:ascii="Times New Roman" w:eastAsia="Times New Roman" w:hAnsi="Times New Roman" w:cs="Times New Roman"/>
          <w:sz w:val="24"/>
          <w:szCs w:val="24"/>
          <w:lang w:eastAsia="ru-RU"/>
        </w:rPr>
        <w:t>а</w:t>
      </w:r>
      <w:r w:rsidRPr="004629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Проведенными в 2017 году проверками установлено финансовых нарушений на сумму </w:t>
      </w:r>
      <w:r>
        <w:rPr>
          <w:rFonts w:ascii="Times New Roman" w:eastAsia="Times New Roman" w:hAnsi="Times New Roman" w:cs="Times New Roman"/>
          <w:sz w:val="24"/>
          <w:szCs w:val="24"/>
          <w:lang w:eastAsia="ru-RU"/>
        </w:rPr>
        <w:br/>
        <w:t>157,6 тыс. рублей.</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4629E7">
        <w:rPr>
          <w:rFonts w:ascii="Times New Roman" w:eastAsia="Times New Roman" w:hAnsi="Times New Roman" w:cs="Times New Roman"/>
          <w:sz w:val="24"/>
          <w:szCs w:val="24"/>
          <w:lang w:eastAsia="ru-RU"/>
        </w:rPr>
        <w:t>инистерством сельского хозяйства не обеспечен контроль финансово-хозяйственной деятельности государственных унитарных предприятий</w:t>
      </w:r>
      <w:r>
        <w:rPr>
          <w:rFonts w:ascii="Times New Roman" w:eastAsia="Times New Roman" w:hAnsi="Times New Roman" w:cs="Times New Roman"/>
          <w:sz w:val="24"/>
          <w:szCs w:val="24"/>
          <w:lang w:eastAsia="ru-RU"/>
        </w:rPr>
        <w:t xml:space="preserve">, подведомственных министерству, контрольные мероприятия в отношении государственных унитарных предприятий </w:t>
      </w:r>
      <w:r>
        <w:rPr>
          <w:rFonts w:ascii="Times New Roman" w:eastAsia="Times New Roman" w:hAnsi="Times New Roman" w:cs="Times New Roman"/>
          <w:sz w:val="24"/>
          <w:szCs w:val="24"/>
          <w:lang w:eastAsia="ru-RU"/>
        </w:rPr>
        <w:br/>
        <w:t>в 2017 году не проводились и на 2018 год не запланированы.</w:t>
      </w:r>
    </w:p>
    <w:p w:rsidR="00B36094" w:rsidRPr="003341EF"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Анализом представленной информации установлено, что в</w:t>
      </w:r>
      <w:r w:rsidRPr="003341E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341EF">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3341EF">
        <w:rPr>
          <w:rFonts w:ascii="Times New Roman" w:hAnsi="Times New Roman" w:cs="Times New Roman"/>
          <w:sz w:val="24"/>
          <w:szCs w:val="24"/>
        </w:rPr>
        <w:t>в соответствии с «</w:t>
      </w:r>
      <w:hyperlink r:id="rId63" w:history="1">
        <w:r w:rsidRPr="003341EF">
          <w:rPr>
            <w:rFonts w:ascii="Times New Roman" w:eastAsia="Times New Roman" w:hAnsi="Times New Roman" w:cs="Times New Roman"/>
            <w:sz w:val="24"/>
            <w:szCs w:val="24"/>
            <w:lang w:eastAsia="ru-RU"/>
          </w:rPr>
          <w:t>Порядк</w:t>
        </w:r>
      </w:hyperlink>
      <w:r w:rsidRPr="003341EF">
        <w:rPr>
          <w:rFonts w:ascii="Times New Roman" w:hAnsi="Times New Roman" w:cs="Times New Roman"/>
          <w:sz w:val="24"/>
          <w:szCs w:val="24"/>
        </w:rPr>
        <w:t>ом</w:t>
      </w:r>
      <w:r w:rsidRPr="003341EF">
        <w:rPr>
          <w:rFonts w:ascii="Times New Roman" w:eastAsia="Times New Roman" w:hAnsi="Times New Roman" w:cs="Times New Roman"/>
          <w:sz w:val="24"/>
          <w:szCs w:val="24"/>
          <w:lang w:eastAsia="ru-RU"/>
        </w:rPr>
        <w:t xml:space="preserve"> осуществления </w:t>
      </w:r>
      <w:r w:rsidRPr="003341EF">
        <w:rPr>
          <w:rFonts w:ascii="Times New Roman" w:hAnsi="Times New Roman" w:cs="Times New Roman"/>
          <w:sz w:val="24"/>
          <w:szCs w:val="24"/>
        </w:rPr>
        <w:t xml:space="preserve">внутреннего финансового контроля и внутреннего </w:t>
      </w:r>
      <w:r>
        <w:rPr>
          <w:rFonts w:ascii="Times New Roman" w:hAnsi="Times New Roman" w:cs="Times New Roman"/>
          <w:sz w:val="24"/>
          <w:szCs w:val="24"/>
        </w:rPr>
        <w:t>финансового аудита», утвержденным</w:t>
      </w:r>
      <w:r w:rsidRPr="003341EF">
        <w:rPr>
          <w:rFonts w:ascii="Times New Roman" w:hAnsi="Times New Roman" w:cs="Times New Roman"/>
          <w:sz w:val="24"/>
          <w:szCs w:val="24"/>
        </w:rPr>
        <w:t xml:space="preserve"> Постановлением Правительства Амурской области от 30.06.2011 № 439, </w:t>
      </w:r>
      <w:r w:rsidRPr="003341EF">
        <w:rPr>
          <w:rFonts w:ascii="Times New Roman" w:eastAsia="Times New Roman" w:hAnsi="Times New Roman" w:cs="Times New Roman"/>
          <w:sz w:val="24"/>
          <w:szCs w:val="24"/>
          <w:lang w:eastAsia="ru-RU"/>
        </w:rPr>
        <w:t>являю</w:t>
      </w:r>
      <w:r w:rsidRPr="003341EF">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A04E7F">
        <w:rPr>
          <w:rFonts w:ascii="Times New Roman" w:hAnsi="Times New Roman" w:cs="Times New Roman"/>
          <w:sz w:val="24"/>
          <w:szCs w:val="24"/>
        </w:rPr>
        <w:t>внутренн</w:t>
      </w:r>
      <w:r>
        <w:rPr>
          <w:rFonts w:ascii="Times New Roman" w:hAnsi="Times New Roman" w:cs="Times New Roman"/>
          <w:sz w:val="24"/>
          <w:szCs w:val="24"/>
        </w:rPr>
        <w:t>ему</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ому</w:t>
      </w:r>
      <w:r w:rsidRPr="00A04E7F">
        <w:rPr>
          <w:rFonts w:ascii="Times New Roman" w:hAnsi="Times New Roman" w:cs="Times New Roman"/>
          <w:sz w:val="24"/>
          <w:szCs w:val="24"/>
        </w:rPr>
        <w:t xml:space="preserve"> аудит</w:t>
      </w:r>
      <w:r>
        <w:rPr>
          <w:rFonts w:ascii="Times New Roman" w:hAnsi="Times New Roman" w:cs="Times New Roman"/>
          <w:sz w:val="24"/>
          <w:szCs w:val="24"/>
        </w:rPr>
        <w:t>у</w:t>
      </w:r>
      <w:r>
        <w:rPr>
          <w:rFonts w:ascii="Times New Roman" w:eastAsia="Times New Roman" w:hAnsi="Times New Roman" w:cs="Times New Roman"/>
          <w:sz w:val="24"/>
          <w:szCs w:val="24"/>
          <w:lang w:eastAsia="ru-RU"/>
        </w:rPr>
        <w:t xml:space="preserve"> возложено на консультанта отдела мясного животноводства и других отраслей животноводства.</w:t>
      </w:r>
    </w:p>
    <w:p w:rsidR="00B36094" w:rsidRPr="00107640"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Проведенный анализ позволяет</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отмети</w:t>
      </w:r>
      <w:r w:rsidRPr="00107640">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низкий уровень организации и осуществления министерством сельского хозяйства Амурской области полномочий в части </w:t>
      </w:r>
      <w:r w:rsidRPr="00A04E7F">
        <w:rPr>
          <w:rFonts w:ascii="Times New Roman" w:hAnsi="Times New Roman" w:cs="Times New Roman"/>
          <w:sz w:val="24"/>
          <w:szCs w:val="24"/>
        </w:rPr>
        <w:t>внутренне</w:t>
      </w:r>
      <w:r>
        <w:rPr>
          <w:rFonts w:ascii="Times New Roman" w:hAnsi="Times New Roman" w:cs="Times New Roman"/>
          <w:sz w:val="24"/>
          <w:szCs w:val="24"/>
        </w:rPr>
        <w:t>го</w:t>
      </w:r>
      <w:r w:rsidRPr="00A04E7F">
        <w:rPr>
          <w:rFonts w:ascii="Times New Roman" w:hAnsi="Times New Roman" w:cs="Times New Roman"/>
          <w:sz w:val="24"/>
          <w:szCs w:val="24"/>
        </w:rPr>
        <w:t xml:space="preserve"> финансового</w:t>
      </w:r>
      <w:r>
        <w:rPr>
          <w:rFonts w:ascii="Times New Roman" w:hAnsi="Times New Roman" w:cs="Times New Roman"/>
          <w:sz w:val="24"/>
          <w:szCs w:val="24"/>
        </w:rPr>
        <w:t xml:space="preserve"> контроля и внутреннего финансового аудита.</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Министерством лесного хозяйства и</w:t>
      </w:r>
      <w:r w:rsidRPr="00B2174E">
        <w:rPr>
          <w:rFonts w:ascii="Times New Roman" w:eastAsia="Times New Roman" w:hAnsi="Times New Roman" w:cs="Times New Roman"/>
          <w:b/>
          <w:sz w:val="24"/>
          <w:szCs w:val="24"/>
          <w:lang w:eastAsia="ru-RU"/>
        </w:rPr>
        <w:t xml:space="preserve"> пожарной </w:t>
      </w:r>
      <w:r w:rsidRPr="0013109C">
        <w:rPr>
          <w:rFonts w:ascii="Times New Roman" w:eastAsia="Times New Roman" w:hAnsi="Times New Roman" w:cs="Times New Roman"/>
          <w:b/>
          <w:sz w:val="24"/>
          <w:szCs w:val="24"/>
          <w:lang w:eastAsia="ru-RU"/>
        </w:rPr>
        <w:t xml:space="preserve">безопасности </w:t>
      </w:r>
      <w:r w:rsidRPr="004629E7">
        <w:rPr>
          <w:rFonts w:ascii="Times New Roman" w:eastAsia="Times New Roman" w:hAnsi="Times New Roman" w:cs="Times New Roman"/>
          <w:b/>
          <w:sz w:val="24"/>
          <w:szCs w:val="24"/>
          <w:lang w:eastAsia="ru-RU"/>
        </w:rPr>
        <w:t>Амурской области</w:t>
      </w:r>
      <w:r>
        <w:rPr>
          <w:rFonts w:ascii="Times New Roman" w:eastAsia="Times New Roman" w:hAnsi="Times New Roman" w:cs="Times New Roman"/>
          <w:b/>
          <w:sz w:val="24"/>
          <w:szCs w:val="24"/>
          <w:lang w:eastAsia="ru-RU"/>
        </w:rPr>
        <w:t>,</w:t>
      </w:r>
      <w:r w:rsidRPr="00B2174E">
        <w:rPr>
          <w:rFonts w:ascii="Times New Roman" w:eastAsia="Times New Roman" w:hAnsi="Times New Roman" w:cs="Times New Roman"/>
          <w:sz w:val="24"/>
          <w:szCs w:val="24"/>
          <w:lang w:eastAsia="ru-RU"/>
        </w:rPr>
        <w:t xml:space="preserve"> при наличии </w:t>
      </w:r>
      <w:r>
        <w:rPr>
          <w:rFonts w:ascii="Times New Roman" w:eastAsia="Times New Roman" w:hAnsi="Times New Roman" w:cs="Times New Roman"/>
          <w:sz w:val="24"/>
          <w:szCs w:val="24"/>
          <w:lang w:eastAsia="ru-RU"/>
        </w:rPr>
        <w:t>27</w:t>
      </w:r>
      <w:r w:rsidRPr="00B2174E">
        <w:rPr>
          <w:rFonts w:ascii="Times New Roman" w:eastAsia="Times New Roman" w:hAnsi="Times New Roman" w:cs="Times New Roman"/>
          <w:sz w:val="24"/>
          <w:szCs w:val="24"/>
          <w:lang w:eastAsia="ru-RU"/>
        </w:rPr>
        <w:t xml:space="preserve"> подведомственных учрежд</w:t>
      </w:r>
      <w:r>
        <w:rPr>
          <w:rFonts w:ascii="Times New Roman" w:eastAsia="Times New Roman" w:hAnsi="Times New Roman" w:cs="Times New Roman"/>
          <w:sz w:val="24"/>
          <w:szCs w:val="24"/>
          <w:lang w:eastAsia="ru-RU"/>
        </w:rPr>
        <w:t xml:space="preserve">ений с объемом финансирования </w:t>
      </w:r>
      <w:r w:rsidRPr="00D411E4">
        <w:rPr>
          <w:rFonts w:ascii="Times New Roman" w:eastAsia="Times New Roman" w:hAnsi="Times New Roman" w:cs="Times New Roman"/>
          <w:sz w:val="24"/>
          <w:szCs w:val="24"/>
          <w:lang w:eastAsia="ru-RU"/>
        </w:rPr>
        <w:t>139</w:t>
      </w:r>
      <w:r>
        <w:rPr>
          <w:rFonts w:ascii="Times New Roman" w:eastAsia="Times New Roman" w:hAnsi="Times New Roman" w:cs="Times New Roman"/>
          <w:sz w:val="24"/>
          <w:szCs w:val="24"/>
          <w:lang w:eastAsia="ru-RU"/>
        </w:rPr>
        <w:t>9080</w:t>
      </w:r>
      <w:r w:rsidRPr="00D411E4">
        <w:rPr>
          <w:rFonts w:ascii="Times New Roman" w:eastAsia="Times New Roman" w:hAnsi="Times New Roman" w:cs="Times New Roman"/>
          <w:sz w:val="24"/>
          <w:szCs w:val="24"/>
          <w:lang w:eastAsia="ru-RU"/>
        </w:rPr>
        <w:t xml:space="preserve">,7 тыс. </w:t>
      </w:r>
      <w:r w:rsidRPr="00B2174E">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w:t>
      </w:r>
      <w:r w:rsidRPr="00B2174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нутре</w:t>
      </w:r>
      <w:r w:rsidRPr="00B2174E">
        <w:rPr>
          <w:rFonts w:ascii="Times New Roman" w:eastAsia="Times New Roman" w:hAnsi="Times New Roman" w:cs="Times New Roman"/>
          <w:sz w:val="24"/>
          <w:szCs w:val="24"/>
          <w:lang w:eastAsia="ru-RU"/>
        </w:rPr>
        <w:t>нн</w:t>
      </w:r>
      <w:r>
        <w:rPr>
          <w:rFonts w:ascii="Times New Roman" w:eastAsia="Times New Roman" w:hAnsi="Times New Roman" w:cs="Times New Roman"/>
          <w:sz w:val="24"/>
          <w:szCs w:val="24"/>
          <w:lang w:eastAsia="ru-RU"/>
        </w:rPr>
        <w:t>и</w:t>
      </w:r>
      <w:r w:rsidRPr="00B2174E">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финансовым </w:t>
      </w:r>
      <w:r w:rsidRPr="00B2174E">
        <w:rPr>
          <w:rFonts w:ascii="Times New Roman" w:eastAsia="Times New Roman" w:hAnsi="Times New Roman" w:cs="Times New Roman"/>
          <w:sz w:val="24"/>
          <w:szCs w:val="24"/>
          <w:lang w:eastAsia="ru-RU"/>
        </w:rPr>
        <w:t>контролем в 201</w:t>
      </w:r>
      <w:r>
        <w:rPr>
          <w:rFonts w:ascii="Times New Roman" w:eastAsia="Times New Roman" w:hAnsi="Times New Roman" w:cs="Times New Roman"/>
          <w:sz w:val="24"/>
          <w:szCs w:val="24"/>
          <w:lang w:eastAsia="ru-RU"/>
        </w:rPr>
        <w:t>7</w:t>
      </w:r>
      <w:r w:rsidRPr="00B2174E">
        <w:rPr>
          <w:rFonts w:ascii="Times New Roman" w:eastAsia="Times New Roman" w:hAnsi="Times New Roman" w:cs="Times New Roman"/>
          <w:sz w:val="24"/>
          <w:szCs w:val="24"/>
          <w:lang w:eastAsia="ru-RU"/>
        </w:rPr>
        <w:t xml:space="preserve"> году охвачено </w:t>
      </w:r>
      <w:r>
        <w:rPr>
          <w:rFonts w:ascii="Times New Roman" w:eastAsia="Times New Roman" w:hAnsi="Times New Roman" w:cs="Times New Roman"/>
          <w:sz w:val="24"/>
          <w:szCs w:val="24"/>
          <w:lang w:eastAsia="ru-RU"/>
        </w:rPr>
        <w:t>9</w:t>
      </w:r>
      <w:r w:rsidRPr="00B2174E">
        <w:rPr>
          <w:rFonts w:ascii="Times New Roman" w:eastAsia="Times New Roman" w:hAnsi="Times New Roman" w:cs="Times New Roman"/>
          <w:sz w:val="24"/>
          <w:szCs w:val="24"/>
          <w:lang w:eastAsia="ru-RU"/>
        </w:rPr>
        <w:t xml:space="preserve"> подведомственных учреждени</w:t>
      </w:r>
      <w:r>
        <w:rPr>
          <w:rFonts w:ascii="Times New Roman" w:eastAsia="Times New Roman" w:hAnsi="Times New Roman" w:cs="Times New Roman"/>
          <w:sz w:val="24"/>
          <w:szCs w:val="24"/>
          <w:lang w:eastAsia="ru-RU"/>
        </w:rPr>
        <w:t>й (в 2015 году – 11, в 2016 году – 12),</w:t>
      </w:r>
      <w:r w:rsidRPr="00B2174E">
        <w:rPr>
          <w:rFonts w:ascii="Times New Roman" w:hAnsi="Times New Roman" w:cs="Times New Roman"/>
          <w:sz w:val="24"/>
          <w:szCs w:val="24"/>
        </w:rPr>
        <w:t xml:space="preserve"> </w:t>
      </w:r>
      <w:r w:rsidRPr="0023487A">
        <w:rPr>
          <w:rFonts w:ascii="Times New Roman" w:eastAsia="Times New Roman" w:hAnsi="Times New Roman" w:cs="Times New Roman"/>
          <w:sz w:val="24"/>
          <w:szCs w:val="24"/>
          <w:lang w:eastAsia="ru-RU"/>
        </w:rPr>
        <w:t xml:space="preserve">охват проверками выделенных объемов бюджетных средств составил </w:t>
      </w:r>
      <w:r>
        <w:rPr>
          <w:rFonts w:ascii="Times New Roman" w:eastAsia="Times New Roman" w:hAnsi="Times New Roman" w:cs="Times New Roman"/>
          <w:sz w:val="24"/>
          <w:szCs w:val="24"/>
          <w:lang w:eastAsia="ru-RU"/>
        </w:rPr>
        <w:t>6,2</w:t>
      </w:r>
      <w:r w:rsidRPr="00D411E4">
        <w:rPr>
          <w:rFonts w:ascii="Times New Roman" w:eastAsia="Times New Roman" w:hAnsi="Times New Roman" w:cs="Times New Roman"/>
          <w:sz w:val="24"/>
          <w:szCs w:val="24"/>
          <w:lang w:eastAsia="ru-RU"/>
        </w:rPr>
        <w:t xml:space="preserve"> процента </w:t>
      </w:r>
      <w:r>
        <w:rPr>
          <w:rFonts w:ascii="Times New Roman" w:eastAsia="Times New Roman" w:hAnsi="Times New Roman" w:cs="Times New Roman"/>
          <w:sz w:val="24"/>
          <w:szCs w:val="24"/>
          <w:lang w:eastAsia="ru-RU"/>
        </w:rPr>
        <w:t>(в 2015- 18,0</w:t>
      </w:r>
      <w:r w:rsidRPr="0023487A">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 в 2016- 92,4</w:t>
      </w:r>
      <w:r w:rsidRPr="0023487A">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 xml:space="preserve">а). Министерством </w:t>
      </w:r>
      <w:r>
        <w:rPr>
          <w:rFonts w:ascii="Times New Roman" w:hAnsi="Times New Roman" w:cs="Times New Roman"/>
          <w:sz w:val="24"/>
          <w:szCs w:val="24"/>
        </w:rPr>
        <w:t xml:space="preserve">проведены 9 проверок финансово-хозяйственной деятельности подведомственных учреждений, 1 проверка </w:t>
      </w:r>
      <w:r w:rsidRPr="00600ED5">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а</w:t>
      </w:r>
      <w:r w:rsidRPr="00600ED5">
        <w:rPr>
          <w:rFonts w:ascii="Times New Roman" w:eastAsia="Times New Roman" w:hAnsi="Times New Roman" w:cs="Times New Roman"/>
          <w:sz w:val="24"/>
          <w:szCs w:val="24"/>
          <w:lang w:eastAsia="ru-RU"/>
        </w:rPr>
        <w:t xml:space="preserve"> местного самоуправления - получател</w:t>
      </w:r>
      <w:r>
        <w:rPr>
          <w:rFonts w:ascii="Times New Roman" w:eastAsia="Times New Roman" w:hAnsi="Times New Roman" w:cs="Times New Roman"/>
          <w:sz w:val="24"/>
          <w:szCs w:val="24"/>
          <w:lang w:eastAsia="ru-RU"/>
        </w:rPr>
        <w:t>я</w:t>
      </w:r>
      <w:r w:rsidRPr="00600ED5">
        <w:rPr>
          <w:rFonts w:ascii="Times New Roman" w:eastAsia="Times New Roman" w:hAnsi="Times New Roman" w:cs="Times New Roman"/>
          <w:sz w:val="24"/>
          <w:szCs w:val="24"/>
          <w:lang w:eastAsia="ru-RU"/>
        </w:rPr>
        <w:t xml:space="preserve"> средств межбюджетных трансфертов</w:t>
      </w:r>
      <w:r w:rsidRPr="00B2174E">
        <w:rPr>
          <w:rFonts w:ascii="Times New Roman" w:hAnsi="Times New Roman" w:cs="Times New Roman"/>
          <w:sz w:val="24"/>
          <w:szCs w:val="24"/>
        </w:rPr>
        <w:t>.</w:t>
      </w:r>
      <w:r>
        <w:rPr>
          <w:rFonts w:ascii="Times New Roman" w:hAnsi="Times New Roman" w:cs="Times New Roman"/>
          <w:sz w:val="24"/>
          <w:szCs w:val="24"/>
        </w:rPr>
        <w:t xml:space="preserve"> Согласно представленной министерством информации </w:t>
      </w:r>
      <w:r>
        <w:rPr>
          <w:rFonts w:ascii="Times New Roman" w:eastAsia="Times New Roman" w:hAnsi="Times New Roman" w:cs="Times New Roman"/>
          <w:sz w:val="24"/>
          <w:szCs w:val="24"/>
          <w:lang w:eastAsia="ru-RU"/>
        </w:rPr>
        <w:t xml:space="preserve">срок проведения отдельных проверок </w:t>
      </w:r>
      <w:r>
        <w:rPr>
          <w:rFonts w:ascii="Times New Roman" w:hAnsi="Times New Roman" w:cs="Times New Roman"/>
          <w:sz w:val="24"/>
          <w:szCs w:val="24"/>
        </w:rPr>
        <w:t xml:space="preserve">финансово-хозяйственной деятельности </w:t>
      </w:r>
      <w:r>
        <w:rPr>
          <w:rFonts w:ascii="Times New Roman" w:eastAsia="Times New Roman" w:hAnsi="Times New Roman" w:cs="Times New Roman"/>
          <w:sz w:val="24"/>
          <w:szCs w:val="24"/>
          <w:lang w:eastAsia="ru-RU"/>
        </w:rPr>
        <w:t>составляет от четырех до пяти дней (комплексная проверка финансово-хозяйственной деятельности и состояния бухгалтерского учета ГАУ АО «Архаринский лесхоз», проверка финансово-хозяйственной деятельности и эффективности управления государственной собственностью ГАУ АО «Бурейский лесхоз»), что позволяет сделать вывод о недостаточном охвате проверками вопросов финансовой деятельности, и невозможности обеспечения качества проводимых проверок.</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07640">
        <w:rPr>
          <w:rFonts w:ascii="Times New Roman" w:eastAsia="Times New Roman" w:hAnsi="Times New Roman" w:cs="Times New Roman"/>
          <w:sz w:val="24"/>
          <w:szCs w:val="24"/>
          <w:lang w:eastAsia="ru-RU"/>
        </w:rPr>
        <w:t>Проведенными ревизиями и проверками выявлено финансовых нарушений на сумму</w:t>
      </w:r>
      <w:r>
        <w:rPr>
          <w:rFonts w:ascii="Times New Roman" w:eastAsia="Times New Roman" w:hAnsi="Times New Roman" w:cs="Times New Roman"/>
          <w:sz w:val="24"/>
          <w:szCs w:val="24"/>
          <w:lang w:eastAsia="ru-RU"/>
        </w:rPr>
        <w:t xml:space="preserve"> 993,4 </w:t>
      </w:r>
      <w:r w:rsidRPr="00107640">
        <w:rPr>
          <w:rFonts w:ascii="Times New Roman" w:eastAsia="Times New Roman" w:hAnsi="Times New Roman" w:cs="Times New Roman"/>
          <w:sz w:val="24"/>
          <w:szCs w:val="24"/>
          <w:lang w:eastAsia="ru-RU"/>
        </w:rPr>
        <w:t>тыс. рублей (в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 xml:space="preserve">3831,8 </w:t>
      </w:r>
      <w:r w:rsidRPr="00107640">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xml:space="preserve">,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107640">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- 9280,5 </w:t>
      </w:r>
      <w:r w:rsidRPr="00107640">
        <w:rPr>
          <w:rFonts w:ascii="Times New Roman" w:eastAsia="Times New Roman" w:hAnsi="Times New Roman" w:cs="Times New Roman"/>
          <w:sz w:val="24"/>
          <w:szCs w:val="24"/>
          <w:lang w:eastAsia="ru-RU"/>
        </w:rPr>
        <w:t>тыс. рублей), устранен</w:t>
      </w:r>
      <w:r>
        <w:rPr>
          <w:rFonts w:ascii="Times New Roman" w:eastAsia="Times New Roman" w:hAnsi="Times New Roman" w:cs="Times New Roman"/>
          <w:sz w:val="24"/>
          <w:szCs w:val="24"/>
          <w:lang w:eastAsia="ru-RU"/>
        </w:rPr>
        <w:t>о</w:t>
      </w:r>
      <w:r w:rsidRPr="00107640">
        <w:rPr>
          <w:rFonts w:ascii="Times New Roman" w:eastAsia="Times New Roman" w:hAnsi="Times New Roman" w:cs="Times New Roman"/>
          <w:sz w:val="24"/>
          <w:szCs w:val="24"/>
          <w:lang w:eastAsia="ru-RU"/>
        </w:rPr>
        <w:t xml:space="preserve"> финансовых нарушений </w:t>
      </w:r>
      <w:r>
        <w:rPr>
          <w:rFonts w:ascii="Times New Roman" w:eastAsia="Times New Roman" w:hAnsi="Times New Roman" w:cs="Times New Roman"/>
          <w:sz w:val="24"/>
          <w:szCs w:val="24"/>
          <w:lang w:eastAsia="ru-RU"/>
        </w:rPr>
        <w:t xml:space="preserve">на сумму 479,2 тыс. рублей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- 21,7 тыс. рублей, в 2016 году - 2973,3 тыс. рублей), или 48,2 процента установленного объема финансовых нарушений. Материалы одной проверки направлены в правоохранительные органы, информации о результатах рассмотрения не представлено.</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Анализом представленной информации установлено, что по 13</w:t>
      </w:r>
      <w:r w:rsidRPr="005A73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подведомственным министерству государственным казенным учреждениям Амурской области (лесничества) бухгалтерский учет осуществляется ГКУ Амурской области «Централизованная бухгалтерия </w:t>
      </w:r>
      <w:r w:rsidRPr="000D22D3">
        <w:rPr>
          <w:rFonts w:ascii="Times New Roman" w:eastAsia="Times New Roman" w:hAnsi="Times New Roman" w:cs="Times New Roman"/>
          <w:sz w:val="24"/>
          <w:szCs w:val="24"/>
          <w:lang w:eastAsia="ru-RU"/>
        </w:rPr>
        <w:t>министерства лесного хозяйства и пожарной безопасности Амурской области</w:t>
      </w:r>
      <w:r>
        <w:rPr>
          <w:rFonts w:ascii="Times New Roman" w:eastAsia="Times New Roman" w:hAnsi="Times New Roman" w:cs="Times New Roman"/>
          <w:sz w:val="24"/>
          <w:szCs w:val="24"/>
          <w:lang w:eastAsia="ru-RU"/>
        </w:rPr>
        <w:t>», проверка финансово-хозяйственной деятельности которой запланирована в 2018 году.</w:t>
      </w:r>
    </w:p>
    <w:p w:rsidR="00B36094" w:rsidRPr="003341EF"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3341E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341EF">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3341EF">
        <w:rPr>
          <w:rFonts w:ascii="Times New Roman" w:hAnsi="Times New Roman" w:cs="Times New Roman"/>
          <w:sz w:val="24"/>
          <w:szCs w:val="24"/>
        </w:rPr>
        <w:t>в соответствии с «</w:t>
      </w:r>
      <w:hyperlink r:id="rId64" w:history="1">
        <w:r w:rsidRPr="003341EF">
          <w:rPr>
            <w:rFonts w:ascii="Times New Roman" w:eastAsia="Times New Roman" w:hAnsi="Times New Roman" w:cs="Times New Roman"/>
            <w:sz w:val="24"/>
            <w:szCs w:val="24"/>
            <w:lang w:eastAsia="ru-RU"/>
          </w:rPr>
          <w:t>Порядк</w:t>
        </w:r>
      </w:hyperlink>
      <w:r w:rsidRPr="003341EF">
        <w:rPr>
          <w:rFonts w:ascii="Times New Roman" w:hAnsi="Times New Roman" w:cs="Times New Roman"/>
          <w:sz w:val="24"/>
          <w:szCs w:val="24"/>
        </w:rPr>
        <w:t>ом</w:t>
      </w:r>
      <w:r w:rsidRPr="003341EF">
        <w:rPr>
          <w:rFonts w:ascii="Times New Roman" w:eastAsia="Times New Roman" w:hAnsi="Times New Roman" w:cs="Times New Roman"/>
          <w:sz w:val="24"/>
          <w:szCs w:val="24"/>
          <w:lang w:eastAsia="ru-RU"/>
        </w:rPr>
        <w:t xml:space="preserve"> осуществления </w:t>
      </w:r>
      <w:r w:rsidRPr="003341EF">
        <w:rPr>
          <w:rFonts w:ascii="Times New Roman" w:hAnsi="Times New Roman" w:cs="Times New Roman"/>
          <w:sz w:val="24"/>
          <w:szCs w:val="24"/>
        </w:rPr>
        <w:t>внутреннего финансового контроля и внутреннего финансового аудита», утвержденн</w:t>
      </w:r>
      <w:r>
        <w:rPr>
          <w:rFonts w:ascii="Times New Roman" w:hAnsi="Times New Roman" w:cs="Times New Roman"/>
          <w:sz w:val="24"/>
          <w:szCs w:val="24"/>
        </w:rPr>
        <w:t>ым</w:t>
      </w:r>
      <w:r w:rsidRPr="003341EF">
        <w:rPr>
          <w:rFonts w:ascii="Times New Roman" w:hAnsi="Times New Roman" w:cs="Times New Roman"/>
          <w:sz w:val="24"/>
          <w:szCs w:val="24"/>
        </w:rPr>
        <w:t xml:space="preserve"> Постановлением Правительства Амурской области от 30.06.2011 № 439, </w:t>
      </w:r>
      <w:r w:rsidRPr="003341EF">
        <w:rPr>
          <w:rFonts w:ascii="Times New Roman" w:eastAsia="Times New Roman" w:hAnsi="Times New Roman" w:cs="Times New Roman"/>
          <w:sz w:val="24"/>
          <w:szCs w:val="24"/>
          <w:lang w:eastAsia="ru-RU"/>
        </w:rPr>
        <w:lastRenderedPageBreak/>
        <w:t>являю</w:t>
      </w:r>
      <w:r w:rsidRPr="003341EF">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A04E7F">
        <w:rPr>
          <w:rFonts w:ascii="Times New Roman" w:hAnsi="Times New Roman" w:cs="Times New Roman"/>
          <w:sz w:val="24"/>
          <w:szCs w:val="24"/>
        </w:rPr>
        <w:t>внутренн</w:t>
      </w:r>
      <w:r>
        <w:rPr>
          <w:rFonts w:ascii="Times New Roman" w:hAnsi="Times New Roman" w:cs="Times New Roman"/>
          <w:sz w:val="24"/>
          <w:szCs w:val="24"/>
        </w:rPr>
        <w:t>ему</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ому</w:t>
      </w:r>
      <w:r w:rsidRPr="00A04E7F">
        <w:rPr>
          <w:rFonts w:ascii="Times New Roman" w:hAnsi="Times New Roman" w:cs="Times New Roman"/>
          <w:sz w:val="24"/>
          <w:szCs w:val="24"/>
        </w:rPr>
        <w:t xml:space="preserve"> аудит</w:t>
      </w:r>
      <w:r>
        <w:rPr>
          <w:rFonts w:ascii="Times New Roman" w:hAnsi="Times New Roman" w:cs="Times New Roman"/>
          <w:sz w:val="24"/>
          <w:szCs w:val="24"/>
        </w:rPr>
        <w:t>у</w:t>
      </w:r>
      <w:r>
        <w:rPr>
          <w:rFonts w:ascii="Times New Roman" w:eastAsia="Times New Roman" w:hAnsi="Times New Roman" w:cs="Times New Roman"/>
          <w:sz w:val="24"/>
          <w:szCs w:val="24"/>
          <w:lang w:eastAsia="ru-RU"/>
        </w:rPr>
        <w:t xml:space="preserve"> возложено на отдел планирования, мониторинга, государственных программ и контрольно-ревизионной деятельности, штатной и фактической численностью 4 единицы, из которых ревизионную работ</w:t>
      </w:r>
      <w:r w:rsidR="004C3485">
        <w:rPr>
          <w:rFonts w:ascii="Times New Roman" w:eastAsia="Times New Roman" w:hAnsi="Times New Roman" w:cs="Times New Roman"/>
          <w:sz w:val="24"/>
          <w:szCs w:val="24"/>
          <w:lang w:eastAsia="ru-RU"/>
        </w:rPr>
        <w:t>у осуществляет один специалист.</w:t>
      </w:r>
    </w:p>
    <w:p w:rsidR="00B36094" w:rsidRPr="00107640"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Проведенный анализ позволяет</w:t>
      </w:r>
      <w:r w:rsidRPr="00107640">
        <w:rPr>
          <w:rFonts w:ascii="Times New Roman" w:eastAsia="Times New Roman" w:hAnsi="Times New Roman" w:cs="Times New Roman"/>
          <w:sz w:val="24"/>
          <w:szCs w:val="24"/>
          <w:lang w:eastAsia="ru-RU"/>
        </w:rPr>
        <w:t xml:space="preserve"> констатировать</w:t>
      </w:r>
      <w:r>
        <w:rPr>
          <w:rFonts w:ascii="Times New Roman" w:eastAsia="Times New Roman" w:hAnsi="Times New Roman" w:cs="Times New Roman"/>
          <w:sz w:val="24"/>
          <w:szCs w:val="24"/>
          <w:lang w:eastAsia="ru-RU"/>
        </w:rPr>
        <w:t xml:space="preserve"> необходимость повышения уровня организации и осуществления министерством лесного хозяйства </w:t>
      </w:r>
      <w:r w:rsidRPr="00844493">
        <w:rPr>
          <w:rFonts w:ascii="Times New Roman" w:eastAsia="Times New Roman" w:hAnsi="Times New Roman" w:cs="Times New Roman"/>
          <w:sz w:val="24"/>
          <w:szCs w:val="24"/>
          <w:lang w:eastAsia="ru-RU"/>
        </w:rPr>
        <w:t>и пожарной безопасности</w:t>
      </w:r>
      <w:r w:rsidRPr="00EB5C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Амурской области полномочий в части </w:t>
      </w:r>
      <w:r w:rsidRPr="00A04E7F">
        <w:rPr>
          <w:rFonts w:ascii="Times New Roman" w:hAnsi="Times New Roman" w:cs="Times New Roman"/>
          <w:sz w:val="24"/>
          <w:szCs w:val="24"/>
        </w:rPr>
        <w:t>внутренне</w:t>
      </w:r>
      <w:r>
        <w:rPr>
          <w:rFonts w:ascii="Times New Roman" w:hAnsi="Times New Roman" w:cs="Times New Roman"/>
          <w:sz w:val="24"/>
          <w:szCs w:val="24"/>
        </w:rPr>
        <w:t>го</w:t>
      </w:r>
      <w:r w:rsidRPr="00A04E7F">
        <w:rPr>
          <w:rFonts w:ascii="Times New Roman" w:hAnsi="Times New Roman" w:cs="Times New Roman"/>
          <w:sz w:val="24"/>
          <w:szCs w:val="24"/>
        </w:rPr>
        <w:t xml:space="preserve"> финансового</w:t>
      </w:r>
      <w:r>
        <w:rPr>
          <w:rFonts w:ascii="Times New Roman" w:hAnsi="Times New Roman" w:cs="Times New Roman"/>
          <w:sz w:val="24"/>
          <w:szCs w:val="24"/>
        </w:rPr>
        <w:t xml:space="preserve"> контроля и </w:t>
      </w:r>
      <w:r w:rsidRPr="00A04E7F">
        <w:rPr>
          <w:rFonts w:ascii="Times New Roman" w:hAnsi="Times New Roman" w:cs="Times New Roman"/>
          <w:sz w:val="24"/>
          <w:szCs w:val="24"/>
        </w:rPr>
        <w:t>внутренне</w:t>
      </w:r>
      <w:r>
        <w:rPr>
          <w:rFonts w:ascii="Times New Roman" w:hAnsi="Times New Roman" w:cs="Times New Roman"/>
          <w:sz w:val="24"/>
          <w:szCs w:val="24"/>
        </w:rPr>
        <w:t>го</w:t>
      </w:r>
      <w:r w:rsidRPr="00A04E7F">
        <w:rPr>
          <w:rFonts w:ascii="Times New Roman" w:hAnsi="Times New Roman" w:cs="Times New Roman"/>
          <w:sz w:val="24"/>
          <w:szCs w:val="24"/>
        </w:rPr>
        <w:t xml:space="preserve"> финансового</w:t>
      </w:r>
      <w:r>
        <w:rPr>
          <w:rFonts w:ascii="Times New Roman" w:hAnsi="Times New Roman" w:cs="Times New Roman"/>
          <w:sz w:val="24"/>
          <w:szCs w:val="24"/>
        </w:rPr>
        <w:t xml:space="preserve"> аудита</w:t>
      </w:r>
      <w:r>
        <w:rPr>
          <w:rFonts w:ascii="Times New Roman" w:eastAsia="Times New Roman" w:hAnsi="Times New Roman" w:cs="Times New Roman"/>
          <w:sz w:val="24"/>
          <w:szCs w:val="24"/>
          <w:lang w:eastAsia="ru-RU"/>
        </w:rPr>
        <w:t>.</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640">
        <w:rPr>
          <w:rFonts w:ascii="Times New Roman" w:eastAsia="Times New Roman" w:hAnsi="Times New Roman" w:cs="Times New Roman"/>
          <w:sz w:val="24"/>
          <w:szCs w:val="24"/>
          <w:lang w:eastAsia="ru-RU"/>
        </w:rPr>
        <w:t xml:space="preserve">Анализом состояния ведомственного финансового контроля в </w:t>
      </w:r>
      <w:r w:rsidRPr="00FF3236">
        <w:rPr>
          <w:rFonts w:ascii="Times New Roman" w:eastAsia="Times New Roman" w:hAnsi="Times New Roman" w:cs="Times New Roman"/>
          <w:b/>
          <w:sz w:val="24"/>
          <w:szCs w:val="24"/>
          <w:lang w:eastAsia="ru-RU"/>
        </w:rPr>
        <w:t>у</w:t>
      </w:r>
      <w:r>
        <w:rPr>
          <w:rFonts w:ascii="Times New Roman" w:eastAsia="Times New Roman" w:hAnsi="Times New Roman" w:cs="Times New Roman"/>
          <w:b/>
          <w:sz w:val="24"/>
          <w:szCs w:val="24"/>
          <w:lang w:eastAsia="ru-RU"/>
        </w:rPr>
        <w:t>правлении</w:t>
      </w:r>
      <w:r w:rsidRPr="00962781">
        <w:rPr>
          <w:rFonts w:ascii="Times New Roman" w:eastAsia="Times New Roman" w:hAnsi="Times New Roman" w:cs="Times New Roman"/>
          <w:b/>
          <w:sz w:val="24"/>
          <w:szCs w:val="24"/>
          <w:lang w:eastAsia="ru-RU"/>
        </w:rPr>
        <w:t xml:space="preserve"> занятости Амурской области</w:t>
      </w:r>
      <w:r>
        <w:rPr>
          <w:rFonts w:ascii="Times New Roman" w:eastAsia="Times New Roman" w:hAnsi="Times New Roman" w:cs="Times New Roman"/>
          <w:b/>
          <w:sz w:val="24"/>
          <w:szCs w:val="24"/>
          <w:lang w:eastAsia="ru-RU"/>
        </w:rPr>
        <w:t xml:space="preserve"> </w:t>
      </w:r>
      <w:r w:rsidRPr="00107640">
        <w:rPr>
          <w:rFonts w:ascii="Times New Roman" w:eastAsia="Times New Roman" w:hAnsi="Times New Roman" w:cs="Times New Roman"/>
          <w:sz w:val="24"/>
          <w:szCs w:val="24"/>
          <w:lang w:eastAsia="ru-RU"/>
        </w:rPr>
        <w:t>установлено</w:t>
      </w:r>
      <w:r>
        <w:rPr>
          <w:rFonts w:ascii="Times New Roman" w:eastAsia="Times New Roman" w:hAnsi="Times New Roman" w:cs="Times New Roman"/>
          <w:sz w:val="24"/>
          <w:szCs w:val="24"/>
          <w:lang w:eastAsia="ru-RU"/>
        </w:rPr>
        <w:t>, что при наличии</w:t>
      </w:r>
      <w:r w:rsidRPr="00962781">
        <w:rPr>
          <w:rFonts w:ascii="Times New Roman" w:eastAsia="Times New Roman" w:hAnsi="Times New Roman" w:cs="Times New Roman"/>
          <w:sz w:val="24"/>
          <w:szCs w:val="24"/>
          <w:lang w:eastAsia="ru-RU"/>
        </w:rPr>
        <w:t xml:space="preserve"> 21 подведомственно</w:t>
      </w:r>
      <w:r>
        <w:rPr>
          <w:rFonts w:ascii="Times New Roman" w:eastAsia="Times New Roman" w:hAnsi="Times New Roman" w:cs="Times New Roman"/>
          <w:sz w:val="24"/>
          <w:szCs w:val="24"/>
          <w:lang w:eastAsia="ru-RU"/>
        </w:rPr>
        <w:t>го</w:t>
      </w:r>
      <w:r w:rsidRPr="00962781">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962781">
        <w:rPr>
          <w:rFonts w:ascii="Times New Roman" w:eastAsia="Times New Roman" w:hAnsi="Times New Roman" w:cs="Times New Roman"/>
          <w:sz w:val="24"/>
          <w:szCs w:val="24"/>
          <w:lang w:eastAsia="ru-RU"/>
        </w:rPr>
        <w:t xml:space="preserve"> с объемами финансирования </w:t>
      </w:r>
      <w:r>
        <w:rPr>
          <w:rFonts w:ascii="Times New Roman" w:eastAsia="Times New Roman" w:hAnsi="Times New Roman" w:cs="Times New Roman"/>
          <w:sz w:val="24"/>
          <w:szCs w:val="24"/>
          <w:lang w:eastAsia="ru-RU"/>
        </w:rPr>
        <w:t>158538,4</w:t>
      </w:r>
      <w:r w:rsidRPr="00962781">
        <w:rPr>
          <w:rFonts w:ascii="Times New Roman" w:eastAsia="Times New Roman" w:hAnsi="Times New Roman" w:cs="Times New Roman"/>
          <w:sz w:val="24"/>
          <w:szCs w:val="24"/>
          <w:lang w:eastAsia="ru-RU"/>
        </w:rPr>
        <w:t xml:space="preserve"> тыс</w:t>
      </w:r>
      <w:r w:rsidRPr="008200B3">
        <w:rPr>
          <w:rFonts w:ascii="Times New Roman" w:eastAsia="Times New Roman" w:hAnsi="Times New Roman" w:cs="Times New Roman"/>
          <w:sz w:val="24"/>
          <w:szCs w:val="24"/>
          <w:lang w:eastAsia="ru-RU"/>
        </w:rPr>
        <w:t xml:space="preserve">. рублей и объемом межбюджетных трансфертов </w:t>
      </w:r>
      <w:r>
        <w:rPr>
          <w:rFonts w:ascii="Times New Roman" w:eastAsia="Times New Roman" w:hAnsi="Times New Roman" w:cs="Times New Roman"/>
          <w:sz w:val="24"/>
          <w:szCs w:val="24"/>
          <w:lang w:eastAsia="ru-RU"/>
        </w:rPr>
        <w:t>514188</w:t>
      </w:r>
      <w:r w:rsidRPr="008200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8200B3">
        <w:rPr>
          <w:rFonts w:ascii="Times New Roman" w:eastAsia="Times New Roman" w:hAnsi="Times New Roman" w:cs="Times New Roman"/>
          <w:sz w:val="24"/>
          <w:szCs w:val="24"/>
          <w:lang w:eastAsia="ru-RU"/>
        </w:rPr>
        <w:t xml:space="preserve"> тыс. рублей, </w:t>
      </w:r>
      <w:r w:rsidRPr="00D05CDE">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7</w:t>
      </w:r>
      <w:r w:rsidRPr="00D05CDE">
        <w:rPr>
          <w:rFonts w:ascii="Times New Roman" w:eastAsia="Times New Roman" w:hAnsi="Times New Roman" w:cs="Times New Roman"/>
          <w:sz w:val="24"/>
          <w:szCs w:val="24"/>
          <w:lang w:eastAsia="ru-RU"/>
        </w:rPr>
        <w:t xml:space="preserve"> году </w:t>
      </w:r>
      <w:r w:rsidRPr="008200B3">
        <w:rPr>
          <w:rFonts w:ascii="Times New Roman" w:eastAsia="Times New Roman" w:hAnsi="Times New Roman" w:cs="Times New Roman"/>
          <w:sz w:val="24"/>
          <w:szCs w:val="24"/>
          <w:lang w:eastAsia="ru-RU"/>
        </w:rPr>
        <w:t xml:space="preserve">ревизиями финансово-хозяйственной деятельности охвачены </w:t>
      </w:r>
      <w:r>
        <w:rPr>
          <w:rFonts w:ascii="Times New Roman" w:eastAsia="Times New Roman" w:hAnsi="Times New Roman" w:cs="Times New Roman"/>
          <w:sz w:val="24"/>
          <w:szCs w:val="24"/>
          <w:lang w:eastAsia="ru-RU"/>
        </w:rPr>
        <w:t xml:space="preserve">все подведомственные учреждения, </w:t>
      </w:r>
      <w:r w:rsidRPr="008200B3">
        <w:rPr>
          <w:rFonts w:ascii="Times New Roman" w:eastAsia="Times New Roman" w:hAnsi="Times New Roman" w:cs="Times New Roman"/>
          <w:sz w:val="24"/>
          <w:szCs w:val="24"/>
          <w:lang w:eastAsia="ru-RU"/>
        </w:rPr>
        <w:t xml:space="preserve">финансовых </w:t>
      </w:r>
      <w:r w:rsidRPr="00962781">
        <w:rPr>
          <w:rFonts w:ascii="Times New Roman" w:eastAsia="Times New Roman" w:hAnsi="Times New Roman" w:cs="Times New Roman"/>
          <w:sz w:val="24"/>
          <w:szCs w:val="24"/>
          <w:lang w:eastAsia="ru-RU"/>
        </w:rPr>
        <w:t xml:space="preserve">нарушений </w:t>
      </w:r>
      <w:r>
        <w:rPr>
          <w:rFonts w:ascii="Times New Roman" w:eastAsia="Times New Roman" w:hAnsi="Times New Roman" w:cs="Times New Roman"/>
          <w:sz w:val="24"/>
          <w:szCs w:val="24"/>
          <w:lang w:eastAsia="ru-RU"/>
        </w:rPr>
        <w:t xml:space="preserve">не </w:t>
      </w:r>
      <w:r w:rsidRPr="00962781">
        <w:rPr>
          <w:rFonts w:ascii="Times New Roman" w:eastAsia="Times New Roman" w:hAnsi="Times New Roman" w:cs="Times New Roman"/>
          <w:sz w:val="24"/>
          <w:szCs w:val="24"/>
          <w:lang w:eastAsia="ru-RU"/>
        </w:rPr>
        <w:t>установлено</w:t>
      </w:r>
      <w:r>
        <w:rPr>
          <w:rFonts w:ascii="Times New Roman" w:eastAsia="Times New Roman" w:hAnsi="Times New Roman" w:cs="Times New Roman"/>
          <w:sz w:val="24"/>
          <w:szCs w:val="24"/>
          <w:lang w:eastAsia="ru-RU"/>
        </w:rPr>
        <w:t>.</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Проверки расходования средств, выделенных муниципальным образованиям области в виде </w:t>
      </w:r>
      <w:r w:rsidRPr="008200B3">
        <w:rPr>
          <w:rFonts w:ascii="Times New Roman" w:eastAsia="Times New Roman" w:hAnsi="Times New Roman" w:cs="Times New Roman"/>
          <w:sz w:val="24"/>
          <w:szCs w:val="24"/>
          <w:lang w:eastAsia="ru-RU"/>
        </w:rPr>
        <w:t>межбюджетных трансфертов</w:t>
      </w:r>
      <w:r>
        <w:rPr>
          <w:rFonts w:ascii="Times New Roman" w:eastAsia="Times New Roman" w:hAnsi="Times New Roman" w:cs="Times New Roman"/>
          <w:sz w:val="24"/>
          <w:szCs w:val="24"/>
          <w:lang w:eastAsia="ru-RU"/>
        </w:rPr>
        <w:t>, управлением не проводились.</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640">
        <w:rPr>
          <w:rFonts w:ascii="Times New Roman" w:eastAsia="Times New Roman" w:hAnsi="Times New Roman" w:cs="Times New Roman"/>
          <w:sz w:val="24"/>
          <w:szCs w:val="24"/>
          <w:lang w:eastAsia="ru-RU"/>
        </w:rPr>
        <w:t>Согласно представленной информации в</w:t>
      </w:r>
      <w:r>
        <w:rPr>
          <w:rFonts w:ascii="Times New Roman" w:eastAsia="Times New Roman" w:hAnsi="Times New Roman" w:cs="Times New Roman"/>
          <w:sz w:val="24"/>
          <w:szCs w:val="24"/>
          <w:lang w:eastAsia="ru-RU"/>
        </w:rPr>
        <w:t>нутренний</w:t>
      </w:r>
      <w:r w:rsidRPr="00107640">
        <w:rPr>
          <w:rFonts w:ascii="Times New Roman" w:eastAsia="Times New Roman" w:hAnsi="Times New Roman" w:cs="Times New Roman"/>
          <w:sz w:val="24"/>
          <w:szCs w:val="24"/>
          <w:lang w:eastAsia="ru-RU"/>
        </w:rPr>
        <w:t xml:space="preserve"> финансовый контроль </w:t>
      </w:r>
      <w:r>
        <w:rPr>
          <w:rFonts w:ascii="Times New Roman" w:eastAsia="Times New Roman" w:hAnsi="Times New Roman" w:cs="Times New Roman"/>
          <w:sz w:val="24"/>
          <w:szCs w:val="24"/>
          <w:lang w:eastAsia="ru-RU"/>
        </w:rPr>
        <w:t>возложен на финансовую службу управления.</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Анализом представленной информации установлено, что в</w:t>
      </w:r>
      <w:r w:rsidRPr="003341E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341EF">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3341EF">
        <w:rPr>
          <w:rFonts w:ascii="Times New Roman" w:hAnsi="Times New Roman" w:cs="Times New Roman"/>
          <w:sz w:val="24"/>
          <w:szCs w:val="24"/>
        </w:rPr>
        <w:t>в соответствии с «</w:t>
      </w:r>
      <w:hyperlink r:id="rId65" w:history="1">
        <w:r w:rsidRPr="003341EF">
          <w:rPr>
            <w:rFonts w:ascii="Times New Roman" w:eastAsia="Times New Roman" w:hAnsi="Times New Roman" w:cs="Times New Roman"/>
            <w:sz w:val="24"/>
            <w:szCs w:val="24"/>
            <w:lang w:eastAsia="ru-RU"/>
          </w:rPr>
          <w:t>Порядк</w:t>
        </w:r>
      </w:hyperlink>
      <w:r w:rsidRPr="003341EF">
        <w:rPr>
          <w:rFonts w:ascii="Times New Roman" w:hAnsi="Times New Roman" w:cs="Times New Roman"/>
          <w:sz w:val="24"/>
          <w:szCs w:val="24"/>
        </w:rPr>
        <w:t>ом</w:t>
      </w:r>
      <w:r w:rsidRPr="003341EF">
        <w:rPr>
          <w:rFonts w:ascii="Times New Roman" w:eastAsia="Times New Roman" w:hAnsi="Times New Roman" w:cs="Times New Roman"/>
          <w:sz w:val="24"/>
          <w:szCs w:val="24"/>
          <w:lang w:eastAsia="ru-RU"/>
        </w:rPr>
        <w:t xml:space="preserve"> осуществления </w:t>
      </w:r>
      <w:r w:rsidRPr="003341EF">
        <w:rPr>
          <w:rFonts w:ascii="Times New Roman" w:hAnsi="Times New Roman" w:cs="Times New Roman"/>
          <w:sz w:val="24"/>
          <w:szCs w:val="24"/>
        </w:rPr>
        <w:t>внутреннего финансового контроля и внутреннего финансового аудита», утвержденн</w:t>
      </w:r>
      <w:r>
        <w:rPr>
          <w:rFonts w:ascii="Times New Roman" w:hAnsi="Times New Roman" w:cs="Times New Roman"/>
          <w:sz w:val="24"/>
          <w:szCs w:val="24"/>
        </w:rPr>
        <w:t>ым</w:t>
      </w:r>
      <w:r w:rsidRPr="003341EF">
        <w:rPr>
          <w:rFonts w:ascii="Times New Roman" w:hAnsi="Times New Roman" w:cs="Times New Roman"/>
          <w:sz w:val="24"/>
          <w:szCs w:val="24"/>
        </w:rPr>
        <w:t xml:space="preserve"> Постановлением Правительства Амурской области от 30.06.2011 № 439, </w:t>
      </w:r>
      <w:r w:rsidRPr="003341EF">
        <w:rPr>
          <w:rFonts w:ascii="Times New Roman" w:eastAsia="Times New Roman" w:hAnsi="Times New Roman" w:cs="Times New Roman"/>
          <w:sz w:val="24"/>
          <w:szCs w:val="24"/>
          <w:lang w:eastAsia="ru-RU"/>
        </w:rPr>
        <w:t>являю</w:t>
      </w:r>
      <w:r w:rsidRPr="003341EF">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Pr="003341EF" w:rsidRDefault="008649C0"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проведенного анализа свидетельствуют о необходимости организации работы управления занятости в части обеспечения внутреннего финансового аудита, а также осуществления контроля использования средств, выделенных в виде межбюджетных трансфертов.</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640">
        <w:rPr>
          <w:rFonts w:ascii="Times New Roman" w:eastAsia="Times New Roman" w:hAnsi="Times New Roman" w:cs="Times New Roman"/>
          <w:b/>
          <w:sz w:val="24"/>
          <w:szCs w:val="24"/>
          <w:lang w:eastAsia="ru-RU"/>
        </w:rPr>
        <w:t>Правительством Амурской области</w:t>
      </w:r>
      <w:r>
        <w:rPr>
          <w:rFonts w:ascii="Times New Roman" w:eastAsia="Times New Roman" w:hAnsi="Times New Roman" w:cs="Times New Roman"/>
          <w:b/>
          <w:sz w:val="24"/>
          <w:szCs w:val="24"/>
          <w:lang w:eastAsia="ru-RU"/>
        </w:rPr>
        <w:t xml:space="preserve"> </w:t>
      </w:r>
      <w:r w:rsidRPr="00107640">
        <w:rPr>
          <w:rFonts w:ascii="Times New Roman" w:eastAsia="Times New Roman" w:hAnsi="Times New Roman" w:cs="Times New Roman"/>
          <w:sz w:val="24"/>
          <w:szCs w:val="24"/>
          <w:lang w:eastAsia="ru-RU"/>
        </w:rPr>
        <w:t xml:space="preserve">при наличии </w:t>
      </w:r>
      <w:r>
        <w:rPr>
          <w:rFonts w:ascii="Times New Roman" w:eastAsia="Times New Roman" w:hAnsi="Times New Roman" w:cs="Times New Roman"/>
          <w:sz w:val="24"/>
          <w:szCs w:val="24"/>
          <w:lang w:eastAsia="ru-RU"/>
        </w:rPr>
        <w:t>3</w:t>
      </w:r>
      <w:r w:rsidRPr="00107640">
        <w:rPr>
          <w:rFonts w:ascii="Times New Roman" w:eastAsia="Times New Roman" w:hAnsi="Times New Roman" w:cs="Times New Roman"/>
          <w:sz w:val="24"/>
          <w:szCs w:val="24"/>
          <w:lang w:eastAsia="ru-RU"/>
        </w:rPr>
        <w:t xml:space="preserve"> подведомственных учреж</w:t>
      </w:r>
      <w:r>
        <w:rPr>
          <w:rFonts w:ascii="Times New Roman" w:eastAsia="Times New Roman" w:hAnsi="Times New Roman" w:cs="Times New Roman"/>
          <w:sz w:val="24"/>
          <w:szCs w:val="24"/>
          <w:lang w:eastAsia="ru-RU"/>
        </w:rPr>
        <w:t>дений с объемом финансирования 366518</w:t>
      </w:r>
      <w:r w:rsidRPr="001076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107640">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и 1 казенного предприятия</w:t>
      </w:r>
      <w:r w:rsidRPr="00107640">
        <w:rPr>
          <w:rFonts w:ascii="Times New Roman" w:eastAsia="Times New Roman" w:hAnsi="Times New Roman" w:cs="Times New Roman"/>
          <w:sz w:val="24"/>
          <w:szCs w:val="24"/>
          <w:lang w:eastAsia="ru-RU"/>
        </w:rPr>
        <w:t xml:space="preserve">, </w:t>
      </w:r>
      <w:r w:rsidRPr="00600ED5">
        <w:rPr>
          <w:rFonts w:ascii="Times New Roman" w:eastAsia="Times New Roman" w:hAnsi="Times New Roman" w:cs="Times New Roman"/>
          <w:sz w:val="24"/>
          <w:szCs w:val="24"/>
          <w:lang w:eastAsia="ru-RU"/>
        </w:rPr>
        <w:t>объемах предоставленных юридическим лицам субсидий - 1</w:t>
      </w:r>
      <w:r>
        <w:rPr>
          <w:rFonts w:ascii="Times New Roman" w:eastAsia="Times New Roman" w:hAnsi="Times New Roman" w:cs="Times New Roman"/>
          <w:sz w:val="24"/>
          <w:szCs w:val="24"/>
          <w:lang w:eastAsia="ru-RU"/>
        </w:rPr>
        <w:t>0000</w:t>
      </w:r>
      <w:r w:rsidRPr="00600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600ED5">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в 2017 году </w:t>
      </w:r>
      <w:r w:rsidRPr="00107640">
        <w:rPr>
          <w:rFonts w:ascii="Times New Roman" w:eastAsia="Times New Roman" w:hAnsi="Times New Roman" w:cs="Times New Roman"/>
          <w:sz w:val="24"/>
          <w:szCs w:val="24"/>
          <w:lang w:eastAsia="ru-RU"/>
        </w:rPr>
        <w:t xml:space="preserve">проведено </w:t>
      </w:r>
      <w:r>
        <w:rPr>
          <w:rFonts w:ascii="Times New Roman" w:eastAsia="Times New Roman" w:hAnsi="Times New Roman" w:cs="Times New Roman"/>
          <w:sz w:val="24"/>
          <w:szCs w:val="24"/>
          <w:lang w:eastAsia="ru-RU"/>
        </w:rPr>
        <w:t>6</w:t>
      </w:r>
      <w:r w:rsidRPr="00107640">
        <w:rPr>
          <w:rFonts w:ascii="Times New Roman" w:eastAsia="Times New Roman" w:hAnsi="Times New Roman" w:cs="Times New Roman"/>
          <w:sz w:val="24"/>
          <w:szCs w:val="24"/>
          <w:lang w:eastAsia="ru-RU"/>
        </w:rPr>
        <w:t xml:space="preserve"> тематически</w:t>
      </w:r>
      <w:r>
        <w:rPr>
          <w:rFonts w:ascii="Times New Roman" w:eastAsia="Times New Roman" w:hAnsi="Times New Roman" w:cs="Times New Roman"/>
          <w:sz w:val="24"/>
          <w:szCs w:val="24"/>
          <w:lang w:eastAsia="ru-RU"/>
        </w:rPr>
        <w:t>х</w:t>
      </w:r>
      <w:r w:rsidRPr="00107640">
        <w:rPr>
          <w:rFonts w:ascii="Times New Roman" w:eastAsia="Times New Roman" w:hAnsi="Times New Roman" w:cs="Times New Roman"/>
          <w:sz w:val="24"/>
          <w:szCs w:val="24"/>
          <w:lang w:eastAsia="ru-RU"/>
        </w:rPr>
        <w:t xml:space="preserve"> провер</w:t>
      </w:r>
      <w:r>
        <w:rPr>
          <w:rFonts w:ascii="Times New Roman" w:eastAsia="Times New Roman" w:hAnsi="Times New Roman" w:cs="Times New Roman"/>
          <w:sz w:val="24"/>
          <w:szCs w:val="24"/>
          <w:lang w:eastAsia="ru-RU"/>
        </w:rPr>
        <w:t>о</w:t>
      </w:r>
      <w:r w:rsidRPr="0010764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которыми охвачены отдельные</w:t>
      </w:r>
      <w:r w:rsidRPr="00107640">
        <w:rPr>
          <w:rFonts w:ascii="Times New Roman" w:eastAsia="Times New Roman" w:hAnsi="Times New Roman" w:cs="Times New Roman"/>
          <w:sz w:val="24"/>
          <w:szCs w:val="24"/>
          <w:lang w:eastAsia="ru-RU"/>
        </w:rPr>
        <w:t xml:space="preserve"> направления </w:t>
      </w:r>
      <w:r>
        <w:rPr>
          <w:rFonts w:ascii="Times New Roman" w:eastAsia="Times New Roman" w:hAnsi="Times New Roman" w:cs="Times New Roman"/>
          <w:sz w:val="24"/>
          <w:szCs w:val="24"/>
          <w:lang w:eastAsia="ru-RU"/>
        </w:rPr>
        <w:t xml:space="preserve">деятельности подведомственных учреждений (в 2015 году – 8, в 2016 году - 7). По результатам проведенных проверок </w:t>
      </w:r>
      <w:r w:rsidRPr="00107640">
        <w:rPr>
          <w:rFonts w:ascii="Times New Roman" w:eastAsia="Times New Roman" w:hAnsi="Times New Roman" w:cs="Times New Roman"/>
          <w:sz w:val="24"/>
          <w:szCs w:val="24"/>
          <w:lang w:eastAsia="ru-RU"/>
        </w:rPr>
        <w:t xml:space="preserve">финансовых нарушений </w:t>
      </w:r>
      <w:r>
        <w:rPr>
          <w:rFonts w:ascii="Times New Roman" w:eastAsia="Times New Roman" w:hAnsi="Times New Roman" w:cs="Times New Roman"/>
          <w:sz w:val="24"/>
          <w:szCs w:val="24"/>
          <w:lang w:eastAsia="ru-RU"/>
        </w:rPr>
        <w:t>не у</w:t>
      </w:r>
      <w:r w:rsidRPr="00107640">
        <w:rPr>
          <w:rFonts w:ascii="Times New Roman" w:eastAsia="Times New Roman" w:hAnsi="Times New Roman" w:cs="Times New Roman"/>
          <w:sz w:val="24"/>
          <w:szCs w:val="24"/>
          <w:lang w:eastAsia="ru-RU"/>
        </w:rPr>
        <w:t>становлено (в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- 1572,6</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в 2016 году - 124,2</w:t>
      </w:r>
      <w:r w:rsidRPr="00107640">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r w:rsidR="004C3485">
        <w:rPr>
          <w:rFonts w:ascii="Times New Roman" w:eastAsia="Times New Roman" w:hAnsi="Times New Roman" w:cs="Times New Roman"/>
          <w:sz w:val="24"/>
          <w:szCs w:val="24"/>
          <w:lang w:eastAsia="ru-RU"/>
        </w:rPr>
        <w:t>.</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Анализом представленной информации установлено, что в</w:t>
      </w:r>
      <w:r w:rsidRPr="003341E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341EF">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3341EF">
        <w:rPr>
          <w:rFonts w:ascii="Times New Roman" w:hAnsi="Times New Roman" w:cs="Times New Roman"/>
          <w:sz w:val="24"/>
          <w:szCs w:val="24"/>
        </w:rPr>
        <w:t>в соответствии с «</w:t>
      </w:r>
      <w:hyperlink r:id="rId66" w:history="1">
        <w:r w:rsidRPr="003341EF">
          <w:rPr>
            <w:rFonts w:ascii="Times New Roman" w:eastAsia="Times New Roman" w:hAnsi="Times New Roman" w:cs="Times New Roman"/>
            <w:sz w:val="24"/>
            <w:szCs w:val="24"/>
            <w:lang w:eastAsia="ru-RU"/>
          </w:rPr>
          <w:t>Порядк</w:t>
        </w:r>
      </w:hyperlink>
      <w:r w:rsidRPr="003341EF">
        <w:rPr>
          <w:rFonts w:ascii="Times New Roman" w:hAnsi="Times New Roman" w:cs="Times New Roman"/>
          <w:sz w:val="24"/>
          <w:szCs w:val="24"/>
        </w:rPr>
        <w:t>ом</w:t>
      </w:r>
      <w:r w:rsidRPr="003341EF">
        <w:rPr>
          <w:rFonts w:ascii="Times New Roman" w:eastAsia="Times New Roman" w:hAnsi="Times New Roman" w:cs="Times New Roman"/>
          <w:sz w:val="24"/>
          <w:szCs w:val="24"/>
          <w:lang w:eastAsia="ru-RU"/>
        </w:rPr>
        <w:t xml:space="preserve"> осуществления </w:t>
      </w:r>
      <w:r w:rsidRPr="003341EF">
        <w:rPr>
          <w:rFonts w:ascii="Times New Roman" w:hAnsi="Times New Roman" w:cs="Times New Roman"/>
          <w:sz w:val="24"/>
          <w:szCs w:val="24"/>
        </w:rPr>
        <w:t>внутреннего финансового контроля и внутреннего финансового аудита», утвержденн</w:t>
      </w:r>
      <w:r>
        <w:rPr>
          <w:rFonts w:ascii="Times New Roman" w:hAnsi="Times New Roman" w:cs="Times New Roman"/>
          <w:sz w:val="24"/>
          <w:szCs w:val="24"/>
        </w:rPr>
        <w:t>ым</w:t>
      </w:r>
      <w:r w:rsidRPr="003341EF">
        <w:rPr>
          <w:rFonts w:ascii="Times New Roman" w:hAnsi="Times New Roman" w:cs="Times New Roman"/>
          <w:sz w:val="24"/>
          <w:szCs w:val="24"/>
        </w:rPr>
        <w:t xml:space="preserve"> Постановлением Правительства Амурской области от 30.06.2011 № 439, </w:t>
      </w:r>
      <w:r w:rsidRPr="003341EF">
        <w:rPr>
          <w:rFonts w:ascii="Times New Roman" w:eastAsia="Times New Roman" w:hAnsi="Times New Roman" w:cs="Times New Roman"/>
          <w:sz w:val="24"/>
          <w:szCs w:val="24"/>
          <w:lang w:eastAsia="ru-RU"/>
        </w:rPr>
        <w:t>являю</w:t>
      </w:r>
      <w:r w:rsidRPr="003341EF">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640">
        <w:rPr>
          <w:rFonts w:ascii="Times New Roman" w:eastAsia="Times New Roman" w:hAnsi="Times New Roman" w:cs="Times New Roman"/>
          <w:sz w:val="24"/>
          <w:szCs w:val="24"/>
          <w:lang w:eastAsia="ru-RU"/>
        </w:rPr>
        <w:t>Согласно представленным сведениям в</w:t>
      </w:r>
      <w:r>
        <w:rPr>
          <w:rFonts w:ascii="Times New Roman" w:eastAsia="Times New Roman" w:hAnsi="Times New Roman" w:cs="Times New Roman"/>
          <w:sz w:val="24"/>
          <w:szCs w:val="24"/>
          <w:lang w:eastAsia="ru-RU"/>
        </w:rPr>
        <w:t>нутрен</w:t>
      </w:r>
      <w:r w:rsidRPr="00107640">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w:t>
      </w:r>
      <w:r w:rsidRPr="00107640">
        <w:rPr>
          <w:rFonts w:ascii="Times New Roman" w:eastAsia="Times New Roman" w:hAnsi="Times New Roman" w:cs="Times New Roman"/>
          <w:sz w:val="24"/>
          <w:szCs w:val="24"/>
          <w:lang w:eastAsia="ru-RU"/>
        </w:rPr>
        <w:t>й финансовый контроль</w:t>
      </w:r>
      <w:r>
        <w:rPr>
          <w:rFonts w:ascii="Times New Roman" w:eastAsia="Times New Roman" w:hAnsi="Times New Roman" w:cs="Times New Roman"/>
          <w:sz w:val="24"/>
          <w:szCs w:val="24"/>
          <w:lang w:eastAsia="ru-RU"/>
        </w:rPr>
        <w:t xml:space="preserve"> и </w:t>
      </w:r>
      <w:r w:rsidRPr="0010764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нутрен</w:t>
      </w:r>
      <w:r w:rsidRPr="00107640">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w:t>
      </w:r>
      <w:r w:rsidRPr="00107640">
        <w:rPr>
          <w:rFonts w:ascii="Times New Roman" w:eastAsia="Times New Roman" w:hAnsi="Times New Roman" w:cs="Times New Roman"/>
          <w:sz w:val="24"/>
          <w:szCs w:val="24"/>
          <w:lang w:eastAsia="ru-RU"/>
        </w:rPr>
        <w:t>й финансовый</w:t>
      </w:r>
      <w:r>
        <w:rPr>
          <w:rFonts w:ascii="Times New Roman" w:eastAsia="Times New Roman" w:hAnsi="Times New Roman" w:cs="Times New Roman"/>
          <w:sz w:val="24"/>
          <w:szCs w:val="24"/>
          <w:lang w:eastAsia="ru-RU"/>
        </w:rPr>
        <w:t xml:space="preserve"> аудит возложен на финансовую службу аппарата.</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Проведенный анализ свидетельствует о необходимости усиления роли </w:t>
      </w:r>
      <w:r w:rsidRPr="0010764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нутреннего финансового</w:t>
      </w:r>
      <w:r w:rsidRPr="0010764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я и внутреннего финансового аудита в деятельности аппарата губернатора Амурской области и Правительства Амурской области.</w:t>
      </w:r>
    </w:p>
    <w:p w:rsidR="00B36094" w:rsidRPr="00035B80"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5B80">
        <w:rPr>
          <w:rFonts w:ascii="Times New Roman" w:eastAsia="Times New Roman" w:hAnsi="Times New Roman" w:cs="Times New Roman"/>
          <w:b/>
          <w:sz w:val="24"/>
          <w:szCs w:val="24"/>
          <w:lang w:eastAsia="ru-RU"/>
        </w:rPr>
        <w:lastRenderedPageBreak/>
        <w:t xml:space="preserve">Министерством по физической культуре и спорту </w:t>
      </w:r>
      <w:r w:rsidRPr="00035B80">
        <w:rPr>
          <w:rFonts w:ascii="Times New Roman" w:eastAsia="Times New Roman" w:hAnsi="Times New Roman" w:cs="Times New Roman"/>
          <w:sz w:val="24"/>
          <w:szCs w:val="24"/>
          <w:lang w:eastAsia="ru-RU"/>
        </w:rPr>
        <w:t xml:space="preserve">Амурской области, при наличии 3 подведомственных учреждений, согласно представленной информации проведено </w:t>
      </w:r>
      <w:r w:rsidRPr="00035B80">
        <w:rPr>
          <w:rFonts w:ascii="Times New Roman" w:eastAsia="Times New Roman" w:hAnsi="Times New Roman" w:cs="Times New Roman"/>
          <w:sz w:val="24"/>
          <w:szCs w:val="24"/>
          <w:lang w:eastAsia="ru-RU"/>
        </w:rPr>
        <w:br/>
        <w:t xml:space="preserve">12 контрольных мероприятий. При этом в качестве контрольных мероприятий отражены проведенные министерством ежеквартальные оценки показателей эффективности деятельности руководителей автономных учреждений и мониторинг исполнения государственных заданий. </w:t>
      </w:r>
      <w:r w:rsidRPr="00FC018A">
        <w:rPr>
          <w:rFonts w:ascii="Times New Roman" w:hAnsi="Times New Roman" w:cs="Times New Roman"/>
          <w:sz w:val="24"/>
          <w:szCs w:val="24"/>
        </w:rPr>
        <w:t>Согласно «</w:t>
      </w:r>
      <w:hyperlink r:id="rId67" w:history="1">
        <w:r w:rsidRPr="00FC018A">
          <w:rPr>
            <w:rFonts w:ascii="Times New Roman" w:eastAsia="Times New Roman" w:hAnsi="Times New Roman" w:cs="Times New Roman"/>
            <w:sz w:val="24"/>
            <w:szCs w:val="24"/>
            <w:lang w:eastAsia="ru-RU"/>
          </w:rPr>
          <w:t>Порядк</w:t>
        </w:r>
      </w:hyperlink>
      <w:r w:rsidRPr="00FC018A">
        <w:rPr>
          <w:rFonts w:ascii="Times New Roman" w:eastAsia="Times New Roman" w:hAnsi="Times New Roman" w:cs="Times New Roman"/>
          <w:sz w:val="24"/>
          <w:szCs w:val="24"/>
          <w:lang w:eastAsia="ru-RU"/>
        </w:rPr>
        <w:t xml:space="preserve">у осуществления </w:t>
      </w:r>
      <w:r w:rsidRPr="00FC018A">
        <w:rPr>
          <w:rFonts w:ascii="Times New Roman" w:hAnsi="Times New Roman" w:cs="Times New Roman"/>
          <w:sz w:val="24"/>
          <w:szCs w:val="24"/>
        </w:rPr>
        <w:t>внутреннего финансового контроля и внутреннего финансового</w:t>
      </w:r>
      <w:r w:rsidRPr="00AF714D">
        <w:rPr>
          <w:rFonts w:ascii="Times New Roman" w:hAnsi="Times New Roman" w:cs="Times New Roman"/>
          <w:sz w:val="24"/>
          <w:szCs w:val="24"/>
        </w:rPr>
        <w:t xml:space="preserve"> аудита», утвержденн</w:t>
      </w:r>
      <w:r>
        <w:rPr>
          <w:rFonts w:ascii="Times New Roman" w:hAnsi="Times New Roman" w:cs="Times New Roman"/>
          <w:sz w:val="24"/>
          <w:szCs w:val="24"/>
        </w:rPr>
        <w:t>ому</w:t>
      </w:r>
      <w:r w:rsidRPr="00AF714D">
        <w:rPr>
          <w:rFonts w:ascii="Times New Roman" w:hAnsi="Times New Roman" w:cs="Times New Roman"/>
          <w:sz w:val="24"/>
          <w:szCs w:val="24"/>
        </w:rPr>
        <w:t xml:space="preserve"> Постановлением Правительства Амурской области от 30.06.2011 № 439,</w:t>
      </w:r>
      <w:r>
        <w:rPr>
          <w:rFonts w:ascii="Times New Roman" w:hAnsi="Times New Roman" w:cs="Times New Roman"/>
          <w:sz w:val="24"/>
          <w:szCs w:val="24"/>
        </w:rPr>
        <w:t xml:space="preserve"> целями осуществления главным распорядителем средств областного бюджета внутреннего финансового контроля являются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подведомственными ему получателями средств областного бюджета, подготовка и организация мер по повышению экономности и результативности использования бюджетных средств. </w:t>
      </w:r>
      <w:r w:rsidRPr="00035B80">
        <w:rPr>
          <w:rFonts w:ascii="Times New Roman" w:eastAsia="Times New Roman" w:hAnsi="Times New Roman" w:cs="Times New Roman"/>
          <w:sz w:val="24"/>
          <w:szCs w:val="24"/>
          <w:lang w:eastAsia="ru-RU"/>
        </w:rPr>
        <w:t>Проверки использования средств областного бюджета, выделенных подведомственным учреждениям,</w:t>
      </w:r>
      <w:r w:rsidRPr="00035B80">
        <w:rPr>
          <w:rFonts w:ascii="Times New Roman" w:hAnsi="Times New Roman" w:cs="Times New Roman"/>
          <w:sz w:val="24"/>
          <w:szCs w:val="24"/>
        </w:rPr>
        <w:t xml:space="preserve"> составления бюджетной отчетности и ведения бюджетного учета </w:t>
      </w:r>
      <w:r w:rsidRPr="00035B80">
        <w:rPr>
          <w:rFonts w:ascii="Times New Roman" w:eastAsia="Times New Roman" w:hAnsi="Times New Roman" w:cs="Times New Roman"/>
          <w:sz w:val="24"/>
          <w:szCs w:val="24"/>
          <w:lang w:eastAsia="ru-RU"/>
        </w:rPr>
        <w:t>министерством по физической культуре и спорту Амурской области в 2017 году н</w:t>
      </w:r>
      <w:r w:rsidR="004C3485">
        <w:rPr>
          <w:rFonts w:ascii="Times New Roman" w:eastAsia="Times New Roman" w:hAnsi="Times New Roman" w:cs="Times New Roman"/>
          <w:sz w:val="24"/>
          <w:szCs w:val="24"/>
          <w:lang w:eastAsia="ru-RU"/>
        </w:rPr>
        <w:t>е проводились.</w:t>
      </w:r>
    </w:p>
    <w:p w:rsidR="00B36094" w:rsidRPr="00AF714D"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Анализом представленной информации установлено, что в</w:t>
      </w:r>
      <w:r w:rsidRPr="00AF714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AF714D">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AF714D">
        <w:rPr>
          <w:rFonts w:ascii="Times New Roman" w:hAnsi="Times New Roman" w:cs="Times New Roman"/>
          <w:sz w:val="24"/>
          <w:szCs w:val="24"/>
        </w:rPr>
        <w:t>в соответствии с «</w:t>
      </w:r>
      <w:hyperlink r:id="rId68" w:history="1">
        <w:r w:rsidRPr="00AF714D">
          <w:rPr>
            <w:rFonts w:ascii="Times New Roman" w:eastAsia="Times New Roman" w:hAnsi="Times New Roman" w:cs="Times New Roman"/>
            <w:sz w:val="24"/>
            <w:szCs w:val="24"/>
            <w:lang w:eastAsia="ru-RU"/>
          </w:rPr>
          <w:t>Порядк</w:t>
        </w:r>
      </w:hyperlink>
      <w:r w:rsidRPr="00AF714D">
        <w:rPr>
          <w:rFonts w:ascii="Times New Roman" w:hAnsi="Times New Roman" w:cs="Times New Roman"/>
          <w:sz w:val="24"/>
          <w:szCs w:val="24"/>
        </w:rPr>
        <w:t>ом</w:t>
      </w:r>
      <w:r w:rsidRPr="00AF714D">
        <w:rPr>
          <w:rFonts w:ascii="Times New Roman" w:eastAsia="Times New Roman" w:hAnsi="Times New Roman" w:cs="Times New Roman"/>
          <w:sz w:val="24"/>
          <w:szCs w:val="24"/>
          <w:lang w:eastAsia="ru-RU"/>
        </w:rPr>
        <w:t xml:space="preserve"> осуществления </w:t>
      </w:r>
      <w:r w:rsidRPr="00AF714D">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AF714D">
        <w:rPr>
          <w:rFonts w:ascii="Times New Roman" w:eastAsia="Times New Roman" w:hAnsi="Times New Roman" w:cs="Times New Roman"/>
          <w:sz w:val="24"/>
          <w:szCs w:val="24"/>
          <w:lang w:eastAsia="ru-RU"/>
        </w:rPr>
        <w:t>являю</w:t>
      </w:r>
      <w:r w:rsidRPr="00AF714D">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Default="00B36094" w:rsidP="00B3609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F714D">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w:t>
      </w:r>
      <w:r>
        <w:rPr>
          <w:rFonts w:ascii="Times New Roman" w:eastAsia="Times New Roman" w:hAnsi="Times New Roman" w:cs="Times New Roman"/>
          <w:sz w:val="24"/>
          <w:szCs w:val="24"/>
          <w:lang w:eastAsia="ru-RU"/>
        </w:rPr>
        <w:t>ы</w:t>
      </w:r>
      <w:r w:rsidRPr="00AF714D">
        <w:rPr>
          <w:rFonts w:ascii="Times New Roman" w:eastAsia="Times New Roman" w:hAnsi="Times New Roman" w:cs="Times New Roman"/>
          <w:sz w:val="24"/>
          <w:szCs w:val="24"/>
          <w:lang w:eastAsia="ru-RU"/>
        </w:rPr>
        <w:t xml:space="preserve"> на финансовую службу министерства. </w:t>
      </w:r>
      <w:r>
        <w:rPr>
          <w:rFonts w:ascii="Times New Roman" w:eastAsia="Times New Roman" w:hAnsi="Times New Roman" w:cs="Times New Roman"/>
          <w:sz w:val="24"/>
          <w:szCs w:val="24"/>
          <w:lang w:eastAsia="ru-RU"/>
        </w:rPr>
        <w:t>Проведенный анализ</w:t>
      </w:r>
      <w:r w:rsidRPr="0060104F">
        <w:rPr>
          <w:rFonts w:ascii="Times New Roman" w:eastAsia="Times New Roman" w:hAnsi="Times New Roman" w:cs="Times New Roman"/>
          <w:sz w:val="24"/>
          <w:szCs w:val="24"/>
          <w:lang w:eastAsia="ru-RU"/>
        </w:rPr>
        <w:t xml:space="preserve"> свидетельствует о низком уровне организации </w:t>
      </w:r>
      <w:r>
        <w:rPr>
          <w:rFonts w:ascii="Times New Roman" w:eastAsia="Times New Roman" w:hAnsi="Times New Roman" w:cs="Times New Roman"/>
          <w:sz w:val="24"/>
          <w:szCs w:val="24"/>
          <w:lang w:eastAsia="ru-RU"/>
        </w:rPr>
        <w:t>и не</w:t>
      </w:r>
      <w:r w:rsidRPr="00EB5CD7">
        <w:rPr>
          <w:rFonts w:ascii="Times New Roman" w:eastAsia="Times New Roman" w:hAnsi="Times New Roman" w:cs="Times New Roman"/>
          <w:sz w:val="24"/>
          <w:szCs w:val="24"/>
          <w:lang w:eastAsia="ru-RU"/>
        </w:rPr>
        <w:t xml:space="preserve">обеспечении министерством </w:t>
      </w:r>
      <w:r>
        <w:rPr>
          <w:rFonts w:ascii="Times New Roman" w:eastAsia="Times New Roman" w:hAnsi="Times New Roman" w:cs="Times New Roman"/>
          <w:sz w:val="24"/>
          <w:szCs w:val="24"/>
          <w:lang w:eastAsia="ru-RU"/>
        </w:rPr>
        <w:t xml:space="preserve">физической культуры и спорта </w:t>
      </w:r>
      <w:r w:rsidRPr="0060104F">
        <w:rPr>
          <w:rFonts w:ascii="Times New Roman" w:eastAsia="Times New Roman" w:hAnsi="Times New Roman" w:cs="Times New Roman"/>
          <w:sz w:val="24"/>
          <w:szCs w:val="24"/>
          <w:lang w:eastAsia="ru-RU"/>
        </w:rPr>
        <w:t xml:space="preserve">внутреннего финансового контроля </w:t>
      </w:r>
      <w:r>
        <w:rPr>
          <w:rFonts w:ascii="Times New Roman" w:eastAsia="Times New Roman" w:hAnsi="Times New Roman" w:cs="Times New Roman"/>
          <w:sz w:val="24"/>
          <w:szCs w:val="24"/>
          <w:lang w:eastAsia="ru-RU"/>
        </w:rPr>
        <w:t xml:space="preserve">и </w:t>
      </w:r>
      <w:r w:rsidRPr="00A04E7F">
        <w:rPr>
          <w:rFonts w:ascii="Times New Roman" w:hAnsi="Times New Roman" w:cs="Times New Roman"/>
          <w:sz w:val="24"/>
          <w:szCs w:val="24"/>
        </w:rPr>
        <w:t>внутренн</w:t>
      </w:r>
      <w:r>
        <w:rPr>
          <w:rFonts w:ascii="Times New Roman" w:hAnsi="Times New Roman" w:cs="Times New Roman"/>
          <w:sz w:val="24"/>
          <w:szCs w:val="24"/>
        </w:rPr>
        <w:t>его</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ого</w:t>
      </w:r>
      <w:r w:rsidRPr="00A04E7F">
        <w:rPr>
          <w:rFonts w:ascii="Times New Roman" w:hAnsi="Times New Roman" w:cs="Times New Roman"/>
          <w:sz w:val="24"/>
          <w:szCs w:val="24"/>
        </w:rPr>
        <w:t xml:space="preserve"> аудит</w:t>
      </w:r>
      <w:r w:rsidR="004C3485">
        <w:rPr>
          <w:rFonts w:ascii="Times New Roman" w:hAnsi="Times New Roman" w:cs="Times New Roman"/>
          <w:sz w:val="24"/>
          <w:szCs w:val="24"/>
        </w:rPr>
        <w:t>а.</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65852">
        <w:rPr>
          <w:rFonts w:ascii="Times New Roman" w:eastAsia="Times New Roman" w:hAnsi="Times New Roman" w:cs="Times New Roman"/>
          <w:b/>
          <w:sz w:val="24"/>
          <w:szCs w:val="24"/>
          <w:lang w:eastAsia="ru-RU"/>
        </w:rPr>
        <w:t xml:space="preserve">Министерство </w:t>
      </w:r>
      <w:r>
        <w:rPr>
          <w:rFonts w:ascii="Times New Roman" w:eastAsia="Times New Roman" w:hAnsi="Times New Roman" w:cs="Times New Roman"/>
          <w:b/>
          <w:sz w:val="24"/>
          <w:szCs w:val="24"/>
          <w:lang w:eastAsia="ru-RU"/>
        </w:rPr>
        <w:t>жилищно-коммунального хозяйства</w:t>
      </w:r>
      <w:r>
        <w:rPr>
          <w:rFonts w:ascii="Times New Roman" w:eastAsia="Times New Roman" w:hAnsi="Times New Roman" w:cs="Times New Roman"/>
          <w:sz w:val="24"/>
          <w:szCs w:val="24"/>
          <w:lang w:eastAsia="ru-RU"/>
        </w:rPr>
        <w:t xml:space="preserve"> Амурской области, </w:t>
      </w:r>
      <w:r w:rsidRPr="00600ED5">
        <w:rPr>
          <w:rFonts w:ascii="Times New Roman" w:eastAsia="Times New Roman" w:hAnsi="Times New Roman" w:cs="Times New Roman"/>
          <w:sz w:val="24"/>
          <w:szCs w:val="24"/>
          <w:lang w:eastAsia="ru-RU"/>
        </w:rPr>
        <w:t xml:space="preserve">при объемах предоставленных субсидий юридическим лицам </w:t>
      </w:r>
      <w:r>
        <w:rPr>
          <w:rFonts w:ascii="Times New Roman" w:eastAsia="Times New Roman" w:hAnsi="Times New Roman" w:cs="Times New Roman"/>
          <w:sz w:val="24"/>
          <w:szCs w:val="24"/>
          <w:lang w:eastAsia="ru-RU"/>
        </w:rPr>
        <w:t>–</w:t>
      </w:r>
      <w:r w:rsidRPr="00600E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1963111,8 тыс. рублей</w:t>
      </w:r>
      <w:r w:rsidRPr="00600ED5">
        <w:rPr>
          <w:rFonts w:ascii="Times New Roman" w:eastAsia="Times New Roman" w:hAnsi="Times New Roman" w:cs="Times New Roman"/>
          <w:sz w:val="24"/>
          <w:szCs w:val="24"/>
          <w:lang w:eastAsia="ru-RU"/>
        </w:rPr>
        <w:t>, межбюджетных трансфертов –</w:t>
      </w:r>
      <w:r>
        <w:rPr>
          <w:rFonts w:ascii="Times New Roman" w:eastAsia="Times New Roman" w:hAnsi="Times New Roman" w:cs="Times New Roman"/>
          <w:sz w:val="24"/>
          <w:szCs w:val="24"/>
          <w:lang w:eastAsia="ru-RU"/>
        </w:rPr>
        <w:t xml:space="preserve"> 1986381</w:t>
      </w:r>
      <w:r w:rsidRPr="00600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600ED5">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w:t>
      </w:r>
      <w:r w:rsidRPr="00600ED5">
        <w:rPr>
          <w:rFonts w:ascii="Times New Roman" w:eastAsia="Times New Roman" w:hAnsi="Times New Roman" w:cs="Times New Roman"/>
          <w:sz w:val="24"/>
          <w:szCs w:val="24"/>
          <w:lang w:eastAsia="ru-RU"/>
        </w:rPr>
        <w:t xml:space="preserve">в рамках осуществления ведомственного финансового контроля проведено </w:t>
      </w:r>
      <w:r>
        <w:rPr>
          <w:rFonts w:ascii="Times New Roman" w:eastAsia="Times New Roman" w:hAnsi="Times New Roman" w:cs="Times New Roman"/>
          <w:sz w:val="24"/>
          <w:szCs w:val="24"/>
          <w:lang w:eastAsia="ru-RU"/>
        </w:rPr>
        <w:t xml:space="preserve">9 </w:t>
      </w:r>
      <w:r w:rsidRPr="00600ED5">
        <w:rPr>
          <w:rFonts w:ascii="Times New Roman" w:eastAsia="Times New Roman" w:hAnsi="Times New Roman" w:cs="Times New Roman"/>
          <w:sz w:val="24"/>
          <w:szCs w:val="24"/>
          <w:lang w:eastAsia="ru-RU"/>
        </w:rPr>
        <w:t>контрольных мероприятий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 2016 году -10)</w:t>
      </w:r>
      <w:r w:rsidRPr="00600ED5">
        <w:rPr>
          <w:rFonts w:ascii="Times New Roman" w:eastAsia="Times New Roman" w:hAnsi="Times New Roman" w:cs="Times New Roman"/>
          <w:sz w:val="24"/>
          <w:szCs w:val="24"/>
          <w:lang w:eastAsia="ru-RU"/>
        </w:rPr>
        <w:t xml:space="preserve">, из которых </w:t>
      </w:r>
      <w:r>
        <w:rPr>
          <w:rFonts w:ascii="Times New Roman" w:eastAsia="Times New Roman" w:hAnsi="Times New Roman" w:cs="Times New Roman"/>
          <w:sz w:val="24"/>
          <w:szCs w:val="24"/>
          <w:lang w:eastAsia="ru-RU"/>
        </w:rPr>
        <w:t>3</w:t>
      </w:r>
      <w:r w:rsidRPr="00600ED5">
        <w:rPr>
          <w:rFonts w:ascii="Times New Roman" w:eastAsia="Times New Roman" w:hAnsi="Times New Roman" w:cs="Times New Roman"/>
          <w:sz w:val="24"/>
          <w:szCs w:val="24"/>
          <w:lang w:eastAsia="ru-RU"/>
        </w:rPr>
        <w:t xml:space="preserve"> проверк</w:t>
      </w:r>
      <w:r>
        <w:rPr>
          <w:rFonts w:ascii="Times New Roman" w:eastAsia="Times New Roman" w:hAnsi="Times New Roman" w:cs="Times New Roman"/>
          <w:sz w:val="24"/>
          <w:szCs w:val="24"/>
          <w:lang w:eastAsia="ru-RU"/>
        </w:rPr>
        <w:t>и</w:t>
      </w:r>
      <w:r w:rsidRPr="00600ED5">
        <w:rPr>
          <w:rFonts w:ascii="Times New Roman" w:eastAsia="Times New Roman" w:hAnsi="Times New Roman" w:cs="Times New Roman"/>
          <w:sz w:val="24"/>
          <w:szCs w:val="24"/>
          <w:lang w:eastAsia="ru-RU"/>
        </w:rPr>
        <w:t xml:space="preserve"> юридических лиц – получателей средств субсидий, </w:t>
      </w:r>
      <w:r>
        <w:rPr>
          <w:rFonts w:ascii="Times New Roman" w:eastAsia="Times New Roman" w:hAnsi="Times New Roman" w:cs="Times New Roman"/>
          <w:sz w:val="24"/>
          <w:szCs w:val="24"/>
          <w:lang w:eastAsia="ru-RU"/>
        </w:rPr>
        <w:t>6</w:t>
      </w:r>
      <w:r w:rsidRPr="00600ED5">
        <w:rPr>
          <w:rFonts w:ascii="Times New Roman" w:eastAsia="Times New Roman" w:hAnsi="Times New Roman" w:cs="Times New Roman"/>
          <w:sz w:val="24"/>
          <w:szCs w:val="24"/>
          <w:lang w:eastAsia="ru-RU"/>
        </w:rPr>
        <w:t xml:space="preserve"> провер</w:t>
      </w:r>
      <w:r>
        <w:rPr>
          <w:rFonts w:ascii="Times New Roman" w:eastAsia="Times New Roman" w:hAnsi="Times New Roman" w:cs="Times New Roman"/>
          <w:sz w:val="24"/>
          <w:szCs w:val="24"/>
          <w:lang w:eastAsia="ru-RU"/>
        </w:rPr>
        <w:t>о</w:t>
      </w:r>
      <w:r w:rsidRPr="00600ED5">
        <w:rPr>
          <w:rFonts w:ascii="Times New Roman" w:eastAsia="Times New Roman" w:hAnsi="Times New Roman" w:cs="Times New Roman"/>
          <w:sz w:val="24"/>
          <w:szCs w:val="24"/>
          <w:lang w:eastAsia="ru-RU"/>
        </w:rPr>
        <w:t>к органов местного самоуправления - получателей средств межбюджетных трансфертов.</w:t>
      </w:r>
      <w:r>
        <w:rPr>
          <w:rFonts w:ascii="Times New Roman" w:eastAsia="Times New Roman" w:hAnsi="Times New Roman" w:cs="Times New Roman"/>
          <w:sz w:val="24"/>
          <w:szCs w:val="24"/>
          <w:lang w:eastAsia="ru-RU"/>
        </w:rPr>
        <w:t xml:space="preserve"> Проверками охвачено 5,7 процента объемов субсидий юридическим лицам и 0,7 процента объемов предоставл</w:t>
      </w:r>
      <w:r w:rsidR="004C3485">
        <w:rPr>
          <w:rFonts w:ascii="Times New Roman" w:eastAsia="Times New Roman" w:hAnsi="Times New Roman" w:cs="Times New Roman"/>
          <w:sz w:val="24"/>
          <w:szCs w:val="24"/>
          <w:lang w:eastAsia="ru-RU"/>
        </w:rPr>
        <w:t>енных межбюджетных трансфертов.</w:t>
      </w:r>
    </w:p>
    <w:p w:rsidR="00B36094" w:rsidRDefault="00B36094" w:rsidP="00B3609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представленной по запросу контрольно-счетной палаты области информации по результатам проверок</w:t>
      </w:r>
      <w:r w:rsidRPr="00403B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установлено финансовых нарушений на сумму </w:t>
      </w:r>
      <w:r>
        <w:rPr>
          <w:rFonts w:ascii="Times New Roman" w:eastAsia="Times New Roman" w:hAnsi="Times New Roman" w:cs="Times New Roman"/>
          <w:sz w:val="24"/>
          <w:szCs w:val="24"/>
          <w:lang w:eastAsia="ru-RU"/>
        </w:rPr>
        <w:br/>
        <w:t>0,7 тыс. рублей, объем устраненных нарушений не отражен. При этом, в «</w:t>
      </w:r>
      <w:r w:rsidRPr="00FF6C6B">
        <w:rPr>
          <w:rFonts w:ascii="Times New Roman" w:hAnsi="Times New Roman" w:cs="Times New Roman"/>
          <w:sz w:val="24"/>
          <w:szCs w:val="24"/>
        </w:rPr>
        <w:t>Информации о результатах мероприятий внутреннего финансового контроля за 201</w:t>
      </w:r>
      <w:r>
        <w:rPr>
          <w:rFonts w:ascii="Times New Roman" w:hAnsi="Times New Roman" w:cs="Times New Roman"/>
          <w:sz w:val="24"/>
          <w:szCs w:val="24"/>
        </w:rPr>
        <w:t>7</w:t>
      </w:r>
      <w:r w:rsidRPr="00FF6C6B">
        <w:rPr>
          <w:rFonts w:ascii="Times New Roman" w:hAnsi="Times New Roman" w:cs="Times New Roman"/>
          <w:sz w:val="24"/>
          <w:szCs w:val="24"/>
        </w:rPr>
        <w:t xml:space="preserve"> год», представленной главным распорядител</w:t>
      </w:r>
      <w:r>
        <w:rPr>
          <w:rFonts w:ascii="Times New Roman" w:hAnsi="Times New Roman" w:cs="Times New Roman"/>
          <w:sz w:val="24"/>
          <w:szCs w:val="24"/>
        </w:rPr>
        <w:t>ем</w:t>
      </w:r>
      <w:r w:rsidRPr="00FF6C6B">
        <w:rPr>
          <w:rFonts w:ascii="Times New Roman" w:hAnsi="Times New Roman" w:cs="Times New Roman"/>
          <w:sz w:val="24"/>
          <w:szCs w:val="24"/>
        </w:rPr>
        <w:t xml:space="preserve"> средств областного бюджета в адрес министерства финансов Амурской области</w:t>
      </w:r>
      <w:r>
        <w:rPr>
          <w:rFonts w:ascii="Times New Roman" w:hAnsi="Times New Roman" w:cs="Times New Roman"/>
          <w:sz w:val="24"/>
          <w:szCs w:val="24"/>
        </w:rPr>
        <w:t>, отражены сведения о выявленных министерством нарушениях при предоставлении юридическим лицам субсидий на сумму 15,3 тыс. рублей и осуществленном возврате излишне предоставленных средств, что свидетельствует о низком качестве предоставленной информации в контрольно-счетную палату области.</w:t>
      </w:r>
    </w:p>
    <w:p w:rsidR="00B36094" w:rsidRPr="00AF714D" w:rsidRDefault="00B36094" w:rsidP="00B3609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AF714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AF714D">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AF714D">
        <w:rPr>
          <w:rFonts w:ascii="Times New Roman" w:hAnsi="Times New Roman" w:cs="Times New Roman"/>
          <w:sz w:val="24"/>
          <w:szCs w:val="24"/>
        </w:rPr>
        <w:t>в соответствии с «</w:t>
      </w:r>
      <w:hyperlink r:id="rId69" w:history="1">
        <w:r w:rsidRPr="00AF714D">
          <w:rPr>
            <w:rFonts w:ascii="Times New Roman" w:eastAsia="Times New Roman" w:hAnsi="Times New Roman" w:cs="Times New Roman"/>
            <w:sz w:val="24"/>
            <w:szCs w:val="24"/>
            <w:lang w:eastAsia="ru-RU"/>
          </w:rPr>
          <w:t>Порядк</w:t>
        </w:r>
      </w:hyperlink>
      <w:r w:rsidRPr="00AF714D">
        <w:rPr>
          <w:rFonts w:ascii="Times New Roman" w:hAnsi="Times New Roman" w:cs="Times New Roman"/>
          <w:sz w:val="24"/>
          <w:szCs w:val="24"/>
        </w:rPr>
        <w:t>ом</w:t>
      </w:r>
      <w:r w:rsidRPr="00AF714D">
        <w:rPr>
          <w:rFonts w:ascii="Times New Roman" w:eastAsia="Times New Roman" w:hAnsi="Times New Roman" w:cs="Times New Roman"/>
          <w:sz w:val="24"/>
          <w:szCs w:val="24"/>
          <w:lang w:eastAsia="ru-RU"/>
        </w:rPr>
        <w:t xml:space="preserve"> осуществления </w:t>
      </w:r>
      <w:r w:rsidRPr="00AF714D">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AF714D">
        <w:rPr>
          <w:rFonts w:ascii="Times New Roman" w:eastAsia="Times New Roman" w:hAnsi="Times New Roman" w:cs="Times New Roman"/>
          <w:sz w:val="24"/>
          <w:szCs w:val="24"/>
          <w:lang w:eastAsia="ru-RU"/>
        </w:rPr>
        <w:t>являю</w:t>
      </w:r>
      <w:r w:rsidRPr="00AF714D">
        <w:rPr>
          <w:rFonts w:ascii="Times New Roman" w:hAnsi="Times New Roman" w:cs="Times New Roman"/>
          <w:sz w:val="24"/>
          <w:szCs w:val="24"/>
        </w:rPr>
        <w:t xml:space="preserve">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w:t>
      </w:r>
      <w:r w:rsidRPr="00AF714D">
        <w:rPr>
          <w:rFonts w:ascii="Times New Roman" w:hAnsi="Times New Roman" w:cs="Times New Roman"/>
          <w:sz w:val="24"/>
          <w:szCs w:val="24"/>
        </w:rPr>
        <w:lastRenderedPageBreak/>
        <w:t>бюджетных средств для достижения целей, задач и целевых прогнозных показателей.</w:t>
      </w:r>
    </w:p>
    <w:p w:rsidR="00B36094" w:rsidRPr="0027623D"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23D">
        <w:rPr>
          <w:rFonts w:ascii="Times New Roman" w:eastAsia="Times New Roman" w:hAnsi="Times New Roman" w:cs="Times New Roman"/>
          <w:sz w:val="24"/>
          <w:szCs w:val="24"/>
          <w:lang w:eastAsia="ru-RU"/>
        </w:rPr>
        <w:t xml:space="preserve">Согласно представленным сведениям полномочия по осуществлению внутреннего финансового контроля и внутреннего финансового аудита возложены на </w:t>
      </w:r>
      <w:r w:rsidR="004C3485">
        <w:rPr>
          <w:rFonts w:ascii="Times New Roman" w:eastAsia="Times New Roman" w:hAnsi="Times New Roman" w:cs="Times New Roman"/>
          <w:sz w:val="24"/>
          <w:szCs w:val="24"/>
          <w:lang w:eastAsia="ru-RU"/>
        </w:rPr>
        <w:t>финансовую службу министерства.</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23D">
        <w:rPr>
          <w:rFonts w:ascii="Times New Roman" w:eastAsia="Times New Roman" w:hAnsi="Times New Roman" w:cs="Times New Roman"/>
          <w:sz w:val="24"/>
          <w:szCs w:val="24"/>
          <w:lang w:eastAsia="ru-RU"/>
        </w:rPr>
        <w:t xml:space="preserve">Незначительная </w:t>
      </w:r>
      <w:r>
        <w:rPr>
          <w:rFonts w:ascii="Times New Roman" w:eastAsia="Times New Roman" w:hAnsi="Times New Roman" w:cs="Times New Roman"/>
          <w:sz w:val="24"/>
          <w:szCs w:val="24"/>
          <w:lang w:eastAsia="ru-RU"/>
        </w:rPr>
        <w:t xml:space="preserve">доля средств, охваченных контролем, и отсутствие сведений о выполнении мероприятий внутреннего финансового аудита свидетельствует о </w:t>
      </w:r>
      <w:r w:rsidRPr="0060104F">
        <w:rPr>
          <w:rFonts w:ascii="Times New Roman" w:eastAsia="Times New Roman" w:hAnsi="Times New Roman" w:cs="Times New Roman"/>
          <w:sz w:val="24"/>
          <w:szCs w:val="24"/>
          <w:lang w:eastAsia="ru-RU"/>
        </w:rPr>
        <w:t xml:space="preserve">низком уровне организации </w:t>
      </w:r>
      <w:r w:rsidRPr="0010764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нутреннего финансового</w:t>
      </w:r>
      <w:r w:rsidRPr="00107640">
        <w:rPr>
          <w:rFonts w:ascii="Times New Roman" w:eastAsia="Times New Roman" w:hAnsi="Times New Roman" w:cs="Times New Roman"/>
          <w:sz w:val="24"/>
          <w:szCs w:val="24"/>
          <w:lang w:eastAsia="ru-RU"/>
        </w:rPr>
        <w:t xml:space="preserve"> контрол</w:t>
      </w:r>
      <w:r>
        <w:rPr>
          <w:rFonts w:ascii="Times New Roman" w:eastAsia="Times New Roman" w:hAnsi="Times New Roman" w:cs="Times New Roman"/>
          <w:sz w:val="24"/>
          <w:szCs w:val="24"/>
          <w:lang w:eastAsia="ru-RU"/>
        </w:rPr>
        <w:t>я и внутреннего финансового аудита в деятельности министерства.</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781">
        <w:rPr>
          <w:rFonts w:ascii="Times New Roman" w:eastAsia="Times New Roman" w:hAnsi="Times New Roman" w:cs="Times New Roman"/>
          <w:b/>
          <w:sz w:val="24"/>
          <w:szCs w:val="24"/>
          <w:lang w:eastAsia="ru-RU"/>
        </w:rPr>
        <w:t xml:space="preserve">Управлением </w:t>
      </w:r>
      <w:r>
        <w:rPr>
          <w:rFonts w:ascii="Times New Roman" w:eastAsia="Times New Roman" w:hAnsi="Times New Roman" w:cs="Times New Roman"/>
          <w:b/>
          <w:sz w:val="24"/>
          <w:szCs w:val="24"/>
          <w:lang w:eastAsia="ru-RU"/>
        </w:rPr>
        <w:t>ветеринарии</w:t>
      </w:r>
      <w:r w:rsidRPr="0096278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и племенного дела </w:t>
      </w:r>
      <w:r w:rsidRPr="00962781">
        <w:rPr>
          <w:rFonts w:ascii="Times New Roman" w:eastAsia="Times New Roman" w:hAnsi="Times New Roman" w:cs="Times New Roman"/>
          <w:b/>
          <w:sz w:val="24"/>
          <w:szCs w:val="24"/>
          <w:lang w:eastAsia="ru-RU"/>
        </w:rPr>
        <w:t>Амурской области</w:t>
      </w:r>
      <w:r w:rsidRPr="00962781">
        <w:rPr>
          <w:rFonts w:ascii="Times New Roman" w:eastAsia="Times New Roman" w:hAnsi="Times New Roman" w:cs="Times New Roman"/>
          <w:sz w:val="24"/>
          <w:szCs w:val="24"/>
          <w:lang w:eastAsia="ru-RU"/>
        </w:rPr>
        <w:t xml:space="preserve">, </w:t>
      </w:r>
      <w:r w:rsidRPr="00107640">
        <w:rPr>
          <w:rFonts w:ascii="Times New Roman" w:eastAsia="Times New Roman" w:hAnsi="Times New Roman" w:cs="Times New Roman"/>
          <w:sz w:val="24"/>
          <w:szCs w:val="24"/>
          <w:lang w:eastAsia="ru-RU"/>
        </w:rPr>
        <w:t xml:space="preserve">при наличии </w:t>
      </w:r>
      <w:r>
        <w:rPr>
          <w:rFonts w:ascii="Times New Roman" w:eastAsia="Times New Roman" w:hAnsi="Times New Roman" w:cs="Times New Roman"/>
          <w:sz w:val="24"/>
          <w:szCs w:val="24"/>
          <w:lang w:eastAsia="ru-RU"/>
        </w:rPr>
        <w:br/>
        <w:t>13</w:t>
      </w:r>
      <w:r w:rsidRPr="00107640">
        <w:rPr>
          <w:rFonts w:ascii="Times New Roman" w:eastAsia="Times New Roman" w:hAnsi="Times New Roman" w:cs="Times New Roman"/>
          <w:sz w:val="24"/>
          <w:szCs w:val="24"/>
          <w:lang w:eastAsia="ru-RU"/>
        </w:rPr>
        <w:t xml:space="preserve"> подведомственных учреж</w:t>
      </w:r>
      <w:r>
        <w:rPr>
          <w:rFonts w:ascii="Times New Roman" w:eastAsia="Times New Roman" w:hAnsi="Times New Roman" w:cs="Times New Roman"/>
          <w:sz w:val="24"/>
          <w:szCs w:val="24"/>
          <w:lang w:eastAsia="ru-RU"/>
        </w:rPr>
        <w:t xml:space="preserve">дений с объемом финансирования 124342,3 </w:t>
      </w:r>
      <w:r w:rsidRPr="00107640">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1 унитарного предприятия,</w:t>
      </w:r>
      <w:r w:rsidRPr="00107640">
        <w:rPr>
          <w:rFonts w:ascii="Times New Roman" w:eastAsia="Times New Roman" w:hAnsi="Times New Roman" w:cs="Times New Roman"/>
          <w:sz w:val="24"/>
          <w:szCs w:val="24"/>
          <w:lang w:eastAsia="ru-RU"/>
        </w:rPr>
        <w:t xml:space="preserve"> </w:t>
      </w:r>
      <w:r w:rsidRPr="00600ED5">
        <w:rPr>
          <w:rFonts w:ascii="Times New Roman" w:eastAsia="Times New Roman" w:hAnsi="Times New Roman" w:cs="Times New Roman"/>
          <w:sz w:val="24"/>
          <w:szCs w:val="24"/>
          <w:lang w:eastAsia="ru-RU"/>
        </w:rPr>
        <w:t xml:space="preserve">объемах предоставленных юридическим лицам субсидий - </w:t>
      </w:r>
      <w:r>
        <w:rPr>
          <w:rFonts w:ascii="Times New Roman" w:eastAsia="Times New Roman" w:hAnsi="Times New Roman" w:cs="Times New Roman"/>
          <w:sz w:val="24"/>
          <w:szCs w:val="24"/>
          <w:lang w:eastAsia="ru-RU"/>
        </w:rPr>
        <w:t>90859</w:t>
      </w:r>
      <w:r w:rsidRPr="00600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600ED5">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r w:rsidRPr="008200B3">
        <w:rPr>
          <w:rFonts w:ascii="Times New Roman" w:eastAsia="Times New Roman" w:hAnsi="Times New Roman" w:cs="Times New Roman"/>
          <w:sz w:val="24"/>
          <w:szCs w:val="24"/>
          <w:lang w:eastAsia="ru-RU"/>
        </w:rPr>
        <w:t xml:space="preserve"> межбюджетных трансфертов </w:t>
      </w:r>
      <w:r>
        <w:rPr>
          <w:rFonts w:ascii="Times New Roman" w:eastAsia="Times New Roman" w:hAnsi="Times New Roman" w:cs="Times New Roman"/>
          <w:sz w:val="24"/>
          <w:szCs w:val="24"/>
          <w:lang w:eastAsia="ru-RU"/>
        </w:rPr>
        <w:t>- 3818,6</w:t>
      </w:r>
      <w:r w:rsidRPr="008200B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проведено </w:t>
      </w:r>
      <w:r>
        <w:rPr>
          <w:rFonts w:ascii="Times New Roman" w:hAnsi="Times New Roman" w:cs="Times New Roman"/>
          <w:sz w:val="24"/>
          <w:szCs w:val="24"/>
        </w:rPr>
        <w:br/>
        <w:t>18 контрольных мероприятий, внутренним финансовым</w:t>
      </w:r>
      <w:r w:rsidRPr="00A04E7F">
        <w:rPr>
          <w:rFonts w:ascii="Times New Roman" w:hAnsi="Times New Roman" w:cs="Times New Roman"/>
          <w:sz w:val="24"/>
          <w:szCs w:val="24"/>
        </w:rPr>
        <w:t xml:space="preserve"> контрол</w:t>
      </w:r>
      <w:r>
        <w:rPr>
          <w:rFonts w:ascii="Times New Roman" w:hAnsi="Times New Roman" w:cs="Times New Roman"/>
          <w:sz w:val="24"/>
          <w:szCs w:val="24"/>
        </w:rPr>
        <w:t>ем</w:t>
      </w:r>
      <w:r w:rsidRPr="00107640">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 xml:space="preserve">7 году охвачено </w:t>
      </w:r>
      <w:r>
        <w:rPr>
          <w:rFonts w:ascii="Times New Roman" w:eastAsia="Times New Roman" w:hAnsi="Times New Roman" w:cs="Times New Roman"/>
          <w:sz w:val="24"/>
          <w:szCs w:val="24"/>
          <w:lang w:eastAsia="ru-RU"/>
        </w:rPr>
        <w:br/>
        <w:t>3</w:t>
      </w:r>
      <w:r w:rsidRPr="00107640">
        <w:rPr>
          <w:rFonts w:ascii="Times New Roman" w:eastAsia="Times New Roman" w:hAnsi="Times New Roman" w:cs="Times New Roman"/>
          <w:sz w:val="24"/>
          <w:szCs w:val="24"/>
          <w:lang w:eastAsia="ru-RU"/>
        </w:rPr>
        <w:t xml:space="preserve"> подведомственн</w:t>
      </w:r>
      <w:r>
        <w:rPr>
          <w:rFonts w:ascii="Times New Roman" w:eastAsia="Times New Roman" w:hAnsi="Times New Roman" w:cs="Times New Roman"/>
          <w:sz w:val="24"/>
          <w:szCs w:val="24"/>
          <w:lang w:eastAsia="ru-RU"/>
        </w:rPr>
        <w:t>ых</w:t>
      </w:r>
      <w:r w:rsidRPr="00107640">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 xml:space="preserve">я </w:t>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w:t>
      </w:r>
      <w:r w:rsidRPr="00107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 в 2016 - 1), проверенные средства составили 27,6 процента</w:t>
      </w:r>
      <w:r w:rsidRPr="00FF5B29">
        <w:rPr>
          <w:rFonts w:ascii="Times New Roman" w:eastAsia="Times New Roman" w:hAnsi="Times New Roman" w:cs="Times New Roman"/>
          <w:sz w:val="24"/>
          <w:szCs w:val="24"/>
          <w:lang w:eastAsia="ru-RU"/>
        </w:rPr>
        <w:t xml:space="preserve"> объема финансирования подведомственных </w:t>
      </w:r>
      <w:r w:rsidRPr="00CF05C7">
        <w:rPr>
          <w:rFonts w:ascii="Times New Roman" w:eastAsia="Times New Roman" w:hAnsi="Times New Roman" w:cs="Times New Roman"/>
          <w:sz w:val="24"/>
          <w:szCs w:val="24"/>
          <w:lang w:eastAsia="ru-RU"/>
        </w:rPr>
        <w:t>учреждений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107640">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5</w:t>
      </w:r>
      <w:r w:rsidRPr="0010764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23,4 процента, в 2016 году – 0,1 процента)</w:t>
      </w:r>
      <w:r w:rsidRPr="00CF05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 органов местного самоуправления - </w:t>
      </w:r>
      <w:r w:rsidRPr="00FF5B29">
        <w:rPr>
          <w:rFonts w:ascii="Times New Roman" w:eastAsia="Times New Roman" w:hAnsi="Times New Roman" w:cs="Times New Roman"/>
          <w:sz w:val="24"/>
          <w:szCs w:val="24"/>
          <w:lang w:eastAsia="ru-RU"/>
        </w:rPr>
        <w:t>получател</w:t>
      </w:r>
      <w:r>
        <w:rPr>
          <w:rFonts w:ascii="Times New Roman" w:eastAsia="Times New Roman" w:hAnsi="Times New Roman" w:cs="Times New Roman"/>
          <w:sz w:val="24"/>
          <w:szCs w:val="24"/>
          <w:lang w:eastAsia="ru-RU"/>
        </w:rPr>
        <w:t>ей</w:t>
      </w:r>
      <w:r w:rsidRPr="00FF5B29">
        <w:rPr>
          <w:rFonts w:ascii="Times New Roman" w:eastAsia="Times New Roman" w:hAnsi="Times New Roman" w:cs="Times New Roman"/>
          <w:sz w:val="24"/>
          <w:szCs w:val="24"/>
          <w:lang w:eastAsia="ru-RU"/>
        </w:rPr>
        <w:t xml:space="preserve"> средств </w:t>
      </w:r>
      <w:r>
        <w:rPr>
          <w:rFonts w:ascii="Times New Roman" w:eastAsia="Times New Roman" w:hAnsi="Times New Roman" w:cs="Times New Roman"/>
          <w:sz w:val="24"/>
          <w:szCs w:val="24"/>
          <w:lang w:eastAsia="ru-RU"/>
        </w:rPr>
        <w:t>межбюджетных трансфертов, проверки проведены по вопросу целевого и эффективного использования средств областного бюджета, представленных в виде субвенции на осуществление полномочий по организации проведения мероприятий по регулированию численности безнадзорных животных, 7 юридическим лиц – получателей средств субсидии на содержание племенного маточного поголовья крупного рога</w:t>
      </w:r>
      <w:r w:rsidR="004C3485">
        <w:rPr>
          <w:rFonts w:ascii="Times New Roman" w:eastAsia="Times New Roman" w:hAnsi="Times New Roman" w:cs="Times New Roman"/>
          <w:sz w:val="24"/>
          <w:szCs w:val="24"/>
          <w:lang w:eastAsia="ru-RU"/>
        </w:rPr>
        <w:t>того скота мясного направления.</w:t>
      </w:r>
    </w:p>
    <w:p w:rsidR="00B36094" w:rsidRDefault="00B36094" w:rsidP="00B360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5FB8">
        <w:rPr>
          <w:rFonts w:ascii="Times New Roman" w:eastAsia="Times New Roman" w:hAnsi="Times New Roman" w:cs="Times New Roman"/>
          <w:sz w:val="24"/>
          <w:szCs w:val="24"/>
          <w:lang w:eastAsia="ru-RU"/>
        </w:rPr>
        <w:t xml:space="preserve">По результатам проверок установлено финансовых нарушений на сумму </w:t>
      </w:r>
      <w:r>
        <w:rPr>
          <w:rFonts w:ascii="Times New Roman" w:eastAsia="Times New Roman" w:hAnsi="Times New Roman" w:cs="Times New Roman"/>
          <w:sz w:val="24"/>
          <w:szCs w:val="24"/>
          <w:lang w:eastAsia="ru-RU"/>
        </w:rPr>
        <w:t xml:space="preserve">453,3 тыс. рублей (в 2015 году - 1205,3 </w:t>
      </w:r>
      <w:r w:rsidRPr="006E5FB8">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в 2016 году - 304,9 тыс. рублей)</w:t>
      </w:r>
      <w:r w:rsidRPr="006E5FB8">
        <w:rPr>
          <w:rFonts w:ascii="Times New Roman" w:eastAsia="Times New Roman" w:hAnsi="Times New Roman" w:cs="Times New Roman"/>
          <w:sz w:val="24"/>
          <w:szCs w:val="24"/>
          <w:lang w:eastAsia="ru-RU"/>
        </w:rPr>
        <w:t xml:space="preserve">, устранено финансовых нарушений на сумму </w:t>
      </w:r>
      <w:r>
        <w:rPr>
          <w:rFonts w:ascii="Times New Roman" w:eastAsia="Times New Roman" w:hAnsi="Times New Roman" w:cs="Times New Roman"/>
          <w:sz w:val="24"/>
          <w:szCs w:val="24"/>
          <w:lang w:eastAsia="ru-RU"/>
        </w:rPr>
        <w:t xml:space="preserve">26,4 тыс. рублей (в 2015 году - 26,4 </w:t>
      </w:r>
      <w:r w:rsidRPr="006E5FB8">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 2016 году - 82,0 тыс. рублей).</w:t>
      </w:r>
    </w:p>
    <w:p w:rsidR="00B36094" w:rsidRPr="0063449C" w:rsidRDefault="00B36094" w:rsidP="00B36094">
      <w:pPr>
        <w:autoSpaceDE w:val="0"/>
        <w:autoSpaceDN w:val="0"/>
        <w:adjustRightInd w:val="0"/>
        <w:spacing w:after="0" w:line="240" w:lineRule="auto"/>
        <w:ind w:firstLine="708"/>
        <w:jc w:val="both"/>
        <w:rPr>
          <w:rFonts w:ascii="Times New Roman" w:hAnsi="Times New Roman" w:cs="Times New Roman"/>
          <w:sz w:val="24"/>
          <w:szCs w:val="24"/>
        </w:rPr>
      </w:pPr>
      <w:r w:rsidRPr="0063449C">
        <w:rPr>
          <w:rFonts w:ascii="Times New Roman" w:eastAsia="Times New Roman" w:hAnsi="Times New Roman" w:cs="Times New Roman"/>
          <w:sz w:val="24"/>
          <w:szCs w:val="24"/>
          <w:lang w:eastAsia="ru-RU"/>
        </w:rPr>
        <w:t xml:space="preserve">Согласно информации о датах последних ревизий и проверок по отдельным учреждениям проверки внутреннего контроля </w:t>
      </w:r>
      <w:r>
        <w:rPr>
          <w:rFonts w:ascii="Times New Roman" w:eastAsia="Times New Roman" w:hAnsi="Times New Roman" w:cs="Times New Roman"/>
          <w:sz w:val="24"/>
          <w:szCs w:val="24"/>
          <w:lang w:eastAsia="ru-RU"/>
        </w:rPr>
        <w:t>управлением</w:t>
      </w:r>
      <w:r w:rsidRPr="0063449C">
        <w:rPr>
          <w:rFonts w:ascii="Times New Roman" w:eastAsia="Times New Roman" w:hAnsi="Times New Roman" w:cs="Times New Roman"/>
          <w:sz w:val="24"/>
          <w:szCs w:val="24"/>
          <w:lang w:eastAsia="ru-RU"/>
        </w:rPr>
        <w:t xml:space="preserve"> не проводились в течение </w:t>
      </w:r>
      <w:r w:rsidRPr="0063449C">
        <w:rPr>
          <w:rFonts w:ascii="Times New Roman" w:eastAsia="Times New Roman" w:hAnsi="Times New Roman" w:cs="Times New Roman"/>
          <w:sz w:val="24"/>
          <w:szCs w:val="24"/>
          <w:lang w:eastAsia="ru-RU"/>
        </w:rPr>
        <w:br/>
        <w:t>4-6 лет и не запланированы к проведению в 2018 году (ГБУ Амурской области «</w:t>
      </w:r>
      <w:r w:rsidRPr="0063449C">
        <w:rPr>
          <w:rFonts w:ascii="Times New Roman" w:hAnsi="Times New Roman" w:cs="Times New Roman"/>
          <w:sz w:val="24"/>
          <w:szCs w:val="24"/>
        </w:rPr>
        <w:t xml:space="preserve">Благовещенская городская станция по борьбе с болезнями животных», </w:t>
      </w:r>
      <w:r w:rsidRPr="0063449C">
        <w:rPr>
          <w:rFonts w:ascii="Times New Roman" w:eastAsia="Times New Roman" w:hAnsi="Times New Roman" w:cs="Times New Roman"/>
          <w:sz w:val="24"/>
          <w:szCs w:val="24"/>
          <w:lang w:eastAsia="ru-RU"/>
        </w:rPr>
        <w:t>«</w:t>
      </w:r>
      <w:r w:rsidRPr="0063449C">
        <w:rPr>
          <w:rFonts w:ascii="Times New Roman" w:hAnsi="Times New Roman" w:cs="Times New Roman"/>
          <w:sz w:val="24"/>
          <w:szCs w:val="24"/>
        </w:rPr>
        <w:t xml:space="preserve">Благовещенская районная станция по борьбе с болезнями животных» «Тамбовская районная станция по борьбе с болезнями животных», «Районная станция по борьбе с болезнями животных по Октябрьскому и Завитинскому районам», «Районная станция по борьбе с болезнями животных по Свободненскому и Серышевскому районам»), </w:t>
      </w:r>
      <w:r w:rsidRPr="0063449C">
        <w:rPr>
          <w:rFonts w:ascii="Times New Roman" w:eastAsia="Times New Roman" w:hAnsi="Times New Roman" w:cs="Times New Roman"/>
          <w:sz w:val="24"/>
          <w:szCs w:val="24"/>
          <w:lang w:eastAsia="ru-RU"/>
        </w:rPr>
        <w:t>при этом на 2018 год запланировано проведение проверок подведомственных учреждений, необревизованный п</w:t>
      </w:r>
      <w:r>
        <w:rPr>
          <w:rFonts w:ascii="Times New Roman" w:eastAsia="Times New Roman" w:hAnsi="Times New Roman" w:cs="Times New Roman"/>
          <w:sz w:val="24"/>
          <w:szCs w:val="24"/>
          <w:lang w:eastAsia="ru-RU"/>
        </w:rPr>
        <w:t>е</w:t>
      </w:r>
      <w:r w:rsidRPr="0063449C">
        <w:rPr>
          <w:rFonts w:ascii="Times New Roman" w:eastAsia="Times New Roman" w:hAnsi="Times New Roman" w:cs="Times New Roman"/>
          <w:sz w:val="24"/>
          <w:szCs w:val="24"/>
          <w:lang w:eastAsia="ru-RU"/>
        </w:rPr>
        <w:t>риод деятельности которых составляет 2-3 года.</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представленной информации выполнение функций по внутреннему финансовому контролю и </w:t>
      </w:r>
      <w:r w:rsidRPr="00A04E7F">
        <w:rPr>
          <w:rFonts w:ascii="Times New Roman" w:hAnsi="Times New Roman" w:cs="Times New Roman"/>
          <w:sz w:val="24"/>
          <w:szCs w:val="24"/>
        </w:rPr>
        <w:t>внутренн</w:t>
      </w:r>
      <w:r>
        <w:rPr>
          <w:rFonts w:ascii="Times New Roman" w:hAnsi="Times New Roman" w:cs="Times New Roman"/>
          <w:sz w:val="24"/>
          <w:szCs w:val="24"/>
        </w:rPr>
        <w:t>ему</w:t>
      </w:r>
      <w:r w:rsidRPr="00A04E7F">
        <w:rPr>
          <w:rFonts w:ascii="Times New Roman" w:hAnsi="Times New Roman" w:cs="Times New Roman"/>
          <w:sz w:val="24"/>
          <w:szCs w:val="24"/>
        </w:rPr>
        <w:t xml:space="preserve"> финансов</w:t>
      </w:r>
      <w:r>
        <w:rPr>
          <w:rFonts w:ascii="Times New Roman" w:hAnsi="Times New Roman" w:cs="Times New Roman"/>
          <w:sz w:val="24"/>
          <w:szCs w:val="24"/>
        </w:rPr>
        <w:t>ому</w:t>
      </w:r>
      <w:r w:rsidRPr="00A04E7F">
        <w:rPr>
          <w:rFonts w:ascii="Times New Roman" w:hAnsi="Times New Roman" w:cs="Times New Roman"/>
          <w:sz w:val="24"/>
          <w:szCs w:val="24"/>
        </w:rPr>
        <w:t xml:space="preserve"> аудит</w:t>
      </w:r>
      <w:r>
        <w:rPr>
          <w:rFonts w:ascii="Times New Roman" w:hAnsi="Times New Roman" w:cs="Times New Roman"/>
          <w:sz w:val="24"/>
          <w:szCs w:val="24"/>
        </w:rPr>
        <w:t>у</w:t>
      </w:r>
      <w:r>
        <w:rPr>
          <w:rFonts w:ascii="Times New Roman" w:eastAsia="Times New Roman" w:hAnsi="Times New Roman" w:cs="Times New Roman"/>
          <w:sz w:val="24"/>
          <w:szCs w:val="24"/>
          <w:lang w:eastAsia="ru-RU"/>
        </w:rPr>
        <w:t xml:space="preserve"> возложено на заместителя начальника отдела бюджетного учета, контроля и отчетности.</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3341EF">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3341EF">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3341EF">
        <w:rPr>
          <w:rFonts w:ascii="Times New Roman" w:hAnsi="Times New Roman" w:cs="Times New Roman"/>
          <w:sz w:val="24"/>
          <w:szCs w:val="24"/>
        </w:rPr>
        <w:t>в соответствии с «</w:t>
      </w:r>
      <w:hyperlink r:id="rId70" w:history="1">
        <w:r w:rsidRPr="003341EF">
          <w:rPr>
            <w:rFonts w:ascii="Times New Roman" w:eastAsia="Times New Roman" w:hAnsi="Times New Roman" w:cs="Times New Roman"/>
            <w:sz w:val="24"/>
            <w:szCs w:val="24"/>
            <w:lang w:eastAsia="ru-RU"/>
          </w:rPr>
          <w:t>Порядк</w:t>
        </w:r>
      </w:hyperlink>
      <w:r w:rsidRPr="003341EF">
        <w:rPr>
          <w:rFonts w:ascii="Times New Roman" w:hAnsi="Times New Roman" w:cs="Times New Roman"/>
          <w:sz w:val="24"/>
          <w:szCs w:val="24"/>
        </w:rPr>
        <w:t>ом</w:t>
      </w:r>
      <w:r w:rsidRPr="003341EF">
        <w:rPr>
          <w:rFonts w:ascii="Times New Roman" w:eastAsia="Times New Roman" w:hAnsi="Times New Roman" w:cs="Times New Roman"/>
          <w:sz w:val="24"/>
          <w:szCs w:val="24"/>
          <w:lang w:eastAsia="ru-RU"/>
        </w:rPr>
        <w:t xml:space="preserve"> осуществления </w:t>
      </w:r>
      <w:r w:rsidRPr="003341EF">
        <w:rPr>
          <w:rFonts w:ascii="Times New Roman" w:hAnsi="Times New Roman" w:cs="Times New Roman"/>
          <w:sz w:val="24"/>
          <w:szCs w:val="24"/>
        </w:rPr>
        <w:t>внутреннего финансового контроля и внутреннего финансового аудита», утвержденн</w:t>
      </w:r>
      <w:r>
        <w:rPr>
          <w:rFonts w:ascii="Times New Roman" w:hAnsi="Times New Roman" w:cs="Times New Roman"/>
          <w:sz w:val="24"/>
          <w:szCs w:val="24"/>
        </w:rPr>
        <w:t>ым</w:t>
      </w:r>
      <w:r w:rsidRPr="003341EF">
        <w:rPr>
          <w:rFonts w:ascii="Times New Roman" w:hAnsi="Times New Roman" w:cs="Times New Roman"/>
          <w:sz w:val="24"/>
          <w:szCs w:val="24"/>
        </w:rPr>
        <w:t xml:space="preserve"> Постановлением Правительства Амурск</w:t>
      </w:r>
      <w:r>
        <w:rPr>
          <w:rFonts w:ascii="Times New Roman" w:hAnsi="Times New Roman" w:cs="Times New Roman"/>
          <w:sz w:val="24"/>
          <w:szCs w:val="24"/>
        </w:rPr>
        <w:t>ой области от 30.06.2011 № 439</w:t>
      </w:r>
      <w:r w:rsidRPr="003341EF">
        <w:rPr>
          <w:rFonts w:ascii="Times New Roman" w:hAnsi="Times New Roman" w:cs="Times New Roman"/>
          <w:sz w:val="24"/>
          <w:szCs w:val="24"/>
        </w:rPr>
        <w:t xml:space="preserve">, </w:t>
      </w:r>
      <w:r w:rsidRPr="003341EF">
        <w:rPr>
          <w:rFonts w:ascii="Times New Roman" w:eastAsia="Times New Roman" w:hAnsi="Times New Roman" w:cs="Times New Roman"/>
          <w:sz w:val="24"/>
          <w:szCs w:val="24"/>
          <w:lang w:eastAsia="ru-RU"/>
        </w:rPr>
        <w:t>являю</w:t>
      </w:r>
      <w:r w:rsidRPr="003341EF">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Pr="00CA2BBD" w:rsidRDefault="00B36094" w:rsidP="00B360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Незначительный</w:t>
      </w:r>
      <w:r w:rsidRPr="00CA2BBD">
        <w:rPr>
          <w:rFonts w:ascii="Times New Roman" w:eastAsia="Times New Roman" w:hAnsi="Times New Roman" w:cs="Times New Roman"/>
          <w:sz w:val="24"/>
          <w:szCs w:val="24"/>
          <w:lang w:eastAsia="ru-RU"/>
        </w:rPr>
        <w:t xml:space="preserve"> уровень охвата контрольными мероприятиями подведомственных учреждений, </w:t>
      </w:r>
      <w:r>
        <w:rPr>
          <w:rFonts w:ascii="Times New Roman" w:eastAsia="Times New Roman" w:hAnsi="Times New Roman" w:cs="Times New Roman"/>
          <w:sz w:val="24"/>
          <w:szCs w:val="24"/>
          <w:lang w:eastAsia="ru-RU"/>
        </w:rPr>
        <w:t xml:space="preserve">многолетние периоды деятельности подведомственных учреждений, не охваченные внутренним финансовым контролем, </w:t>
      </w:r>
      <w:r w:rsidRPr="00CA2BBD">
        <w:rPr>
          <w:rFonts w:ascii="Times New Roman" w:eastAsia="Times New Roman" w:hAnsi="Times New Roman" w:cs="Times New Roman"/>
          <w:sz w:val="24"/>
          <w:szCs w:val="24"/>
          <w:lang w:eastAsia="ru-RU"/>
        </w:rPr>
        <w:t xml:space="preserve">отсутствие системности в </w:t>
      </w:r>
      <w:r w:rsidRPr="00CA2BBD">
        <w:rPr>
          <w:rFonts w:ascii="Times New Roman" w:hAnsi="Times New Roman" w:cs="Times New Roman"/>
          <w:sz w:val="24"/>
          <w:szCs w:val="24"/>
        </w:rPr>
        <w:t>периодичности проведения проверок подведомственных учреждений</w:t>
      </w:r>
      <w:r w:rsidRPr="00CA2BBD">
        <w:rPr>
          <w:rFonts w:ascii="Times New Roman" w:eastAsia="Times New Roman" w:hAnsi="Times New Roman" w:cs="Times New Roman"/>
          <w:sz w:val="24"/>
          <w:szCs w:val="24"/>
          <w:lang w:eastAsia="ru-RU"/>
        </w:rPr>
        <w:t xml:space="preserve">, позволяют </w:t>
      </w:r>
      <w:r>
        <w:rPr>
          <w:rFonts w:ascii="Times New Roman" w:eastAsia="Times New Roman" w:hAnsi="Times New Roman" w:cs="Times New Roman"/>
          <w:sz w:val="24"/>
          <w:szCs w:val="24"/>
          <w:lang w:eastAsia="ru-RU"/>
        </w:rPr>
        <w:t>отмети</w:t>
      </w:r>
      <w:r w:rsidRPr="00CA2BBD">
        <w:rPr>
          <w:rFonts w:ascii="Times New Roman" w:eastAsia="Times New Roman" w:hAnsi="Times New Roman" w:cs="Times New Roman"/>
          <w:sz w:val="24"/>
          <w:szCs w:val="24"/>
          <w:lang w:eastAsia="ru-RU"/>
        </w:rPr>
        <w:t xml:space="preserve">ть низкий уровень организации и осуществления </w:t>
      </w:r>
      <w:r>
        <w:rPr>
          <w:rFonts w:ascii="Times New Roman" w:eastAsia="Times New Roman" w:hAnsi="Times New Roman" w:cs="Times New Roman"/>
          <w:sz w:val="24"/>
          <w:szCs w:val="24"/>
          <w:lang w:eastAsia="ru-RU"/>
        </w:rPr>
        <w:t xml:space="preserve">управлением </w:t>
      </w:r>
      <w:r w:rsidRPr="0063449C">
        <w:rPr>
          <w:rFonts w:ascii="Times New Roman" w:eastAsia="Times New Roman" w:hAnsi="Times New Roman" w:cs="Times New Roman"/>
          <w:sz w:val="24"/>
          <w:szCs w:val="24"/>
          <w:lang w:eastAsia="ru-RU"/>
        </w:rPr>
        <w:t>ветеринарии и племенного дела Амурской области полномочий в части внутреннего фин</w:t>
      </w:r>
      <w:r w:rsidRPr="00CA2BBD">
        <w:rPr>
          <w:rFonts w:ascii="Times New Roman" w:eastAsia="Times New Roman" w:hAnsi="Times New Roman" w:cs="Times New Roman"/>
          <w:sz w:val="24"/>
          <w:szCs w:val="24"/>
          <w:lang w:eastAsia="ru-RU"/>
        </w:rPr>
        <w:t>ансового контроля.</w:t>
      </w:r>
    </w:p>
    <w:p w:rsidR="00B36094"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4E3D90">
        <w:rPr>
          <w:rFonts w:ascii="Times New Roman" w:eastAsia="Times New Roman" w:hAnsi="Times New Roman" w:cs="Times New Roman"/>
          <w:b/>
          <w:sz w:val="24"/>
          <w:szCs w:val="24"/>
          <w:lang w:eastAsia="ru-RU"/>
        </w:rPr>
        <w:lastRenderedPageBreak/>
        <w:t>Министерством транспорта и строительства</w:t>
      </w:r>
      <w:r w:rsidRPr="004E3D90">
        <w:rPr>
          <w:rFonts w:ascii="Times New Roman" w:eastAsia="Times New Roman" w:hAnsi="Times New Roman" w:cs="Times New Roman"/>
          <w:sz w:val="24"/>
          <w:szCs w:val="24"/>
          <w:lang w:eastAsia="ru-RU"/>
        </w:rPr>
        <w:t xml:space="preserve"> Амурской области при наличии </w:t>
      </w:r>
      <w:r w:rsidRPr="004E3D90">
        <w:rPr>
          <w:rFonts w:ascii="Times New Roman" w:eastAsia="Times New Roman" w:hAnsi="Times New Roman" w:cs="Times New Roman"/>
          <w:sz w:val="24"/>
          <w:szCs w:val="24"/>
          <w:lang w:eastAsia="ru-RU"/>
        </w:rPr>
        <w:br/>
        <w:t xml:space="preserve">3 подведомственных учреждений с объемами финансирования </w:t>
      </w:r>
      <w:r>
        <w:rPr>
          <w:rFonts w:ascii="Times New Roman" w:eastAsia="Times New Roman" w:hAnsi="Times New Roman" w:cs="Times New Roman"/>
          <w:sz w:val="24"/>
          <w:szCs w:val="24"/>
          <w:lang w:eastAsia="ru-RU"/>
        </w:rPr>
        <w:t>511833</w:t>
      </w:r>
      <w:r w:rsidRPr="004E3D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4E3D90">
        <w:rPr>
          <w:rFonts w:ascii="Times New Roman" w:eastAsia="Times New Roman" w:hAnsi="Times New Roman" w:cs="Times New Roman"/>
          <w:sz w:val="24"/>
          <w:szCs w:val="24"/>
          <w:lang w:eastAsia="ru-RU"/>
        </w:rPr>
        <w:t xml:space="preserve"> тыс. рублей, </w:t>
      </w:r>
      <w:r w:rsidRPr="004E3D90">
        <w:rPr>
          <w:rFonts w:ascii="Times New Roman" w:eastAsia="Times New Roman" w:hAnsi="Times New Roman" w:cs="Times New Roman"/>
          <w:sz w:val="24"/>
          <w:szCs w:val="24"/>
          <w:lang w:eastAsia="ru-RU"/>
        </w:rPr>
        <w:br/>
        <w:t xml:space="preserve">1 государственного унитарного предприятия, расходах главного распорядителя на предоставление субсидий юридическим лицам – производителям товаров, работ, услуг в объеме </w:t>
      </w:r>
      <w:r>
        <w:rPr>
          <w:rFonts w:ascii="Times New Roman" w:eastAsia="Times New Roman" w:hAnsi="Times New Roman" w:cs="Times New Roman"/>
          <w:sz w:val="24"/>
          <w:szCs w:val="24"/>
          <w:lang w:eastAsia="ru-RU"/>
        </w:rPr>
        <w:t>146170,0 тыс. рублей,</w:t>
      </w:r>
      <w:r w:rsidRPr="004E3D90">
        <w:rPr>
          <w:rFonts w:ascii="Times New Roman" w:eastAsia="Times New Roman" w:hAnsi="Times New Roman" w:cs="Times New Roman"/>
          <w:sz w:val="24"/>
          <w:szCs w:val="24"/>
          <w:lang w:eastAsia="ru-RU"/>
        </w:rPr>
        <w:t xml:space="preserve"> </w:t>
      </w:r>
      <w:r w:rsidRPr="008200B3">
        <w:rPr>
          <w:rFonts w:ascii="Times New Roman" w:eastAsia="Times New Roman" w:hAnsi="Times New Roman" w:cs="Times New Roman"/>
          <w:sz w:val="24"/>
          <w:szCs w:val="24"/>
          <w:lang w:eastAsia="ru-RU"/>
        </w:rPr>
        <w:t xml:space="preserve">межбюджетных трансфертов </w:t>
      </w:r>
      <w:r>
        <w:rPr>
          <w:rFonts w:ascii="Times New Roman" w:eastAsia="Times New Roman" w:hAnsi="Times New Roman" w:cs="Times New Roman"/>
          <w:sz w:val="24"/>
          <w:szCs w:val="24"/>
          <w:lang w:eastAsia="ru-RU"/>
        </w:rPr>
        <w:t>- 1132727,1</w:t>
      </w:r>
      <w:r w:rsidRPr="008200B3">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проведено 2 проверки подведомственных учреждений, 18 проверок муниципальных образований по вопросам целевого использования области средств межбюджетных трансфертов, которыми охвачено 30,2 процента предос</w:t>
      </w:r>
      <w:r w:rsidR="004C3485">
        <w:rPr>
          <w:rFonts w:ascii="Times New Roman" w:eastAsia="Times New Roman" w:hAnsi="Times New Roman" w:cs="Times New Roman"/>
          <w:sz w:val="24"/>
          <w:szCs w:val="24"/>
          <w:lang w:eastAsia="ru-RU"/>
        </w:rPr>
        <w:t>тавленных межбюджетных средств.</w:t>
      </w:r>
    </w:p>
    <w:p w:rsidR="00B36094"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6E5FB8">
        <w:rPr>
          <w:rFonts w:ascii="Times New Roman" w:eastAsia="Times New Roman" w:hAnsi="Times New Roman" w:cs="Times New Roman"/>
          <w:sz w:val="24"/>
          <w:szCs w:val="24"/>
          <w:lang w:eastAsia="ru-RU"/>
        </w:rPr>
        <w:t xml:space="preserve">По результатам проверок финансовых нарушений </w:t>
      </w:r>
      <w:r>
        <w:rPr>
          <w:rFonts w:ascii="Times New Roman" w:eastAsia="Times New Roman" w:hAnsi="Times New Roman" w:cs="Times New Roman"/>
          <w:sz w:val="24"/>
          <w:szCs w:val="24"/>
          <w:lang w:eastAsia="ru-RU"/>
        </w:rPr>
        <w:t xml:space="preserve">не </w:t>
      </w:r>
      <w:r w:rsidRPr="006E5FB8">
        <w:rPr>
          <w:rFonts w:ascii="Times New Roman" w:eastAsia="Times New Roman" w:hAnsi="Times New Roman" w:cs="Times New Roman"/>
          <w:sz w:val="24"/>
          <w:szCs w:val="24"/>
          <w:lang w:eastAsia="ru-RU"/>
        </w:rPr>
        <w:t xml:space="preserve">установлено </w:t>
      </w:r>
      <w:r>
        <w:rPr>
          <w:rFonts w:ascii="Times New Roman" w:eastAsia="Times New Roman" w:hAnsi="Times New Roman" w:cs="Times New Roman"/>
          <w:sz w:val="24"/>
          <w:szCs w:val="24"/>
          <w:lang w:eastAsia="ru-RU"/>
        </w:rPr>
        <w:t>(в 2015 году -21215,0 тыс. рублей, в 20</w:t>
      </w:r>
      <w:r w:rsidR="004C3485">
        <w:rPr>
          <w:rFonts w:ascii="Times New Roman" w:eastAsia="Times New Roman" w:hAnsi="Times New Roman" w:cs="Times New Roman"/>
          <w:sz w:val="24"/>
          <w:szCs w:val="24"/>
          <w:lang w:eastAsia="ru-RU"/>
        </w:rPr>
        <w:t>16 году - 21198,6 тыс. рублей).</w:t>
      </w:r>
    </w:p>
    <w:p w:rsidR="00B36094" w:rsidRPr="00035B80" w:rsidRDefault="00B36094" w:rsidP="00B36094">
      <w:pPr>
        <w:spacing w:after="0" w:line="240" w:lineRule="auto"/>
        <w:ind w:firstLine="709"/>
        <w:jc w:val="both"/>
        <w:rPr>
          <w:rFonts w:ascii="Times New Roman" w:eastAsia="Times New Roman" w:hAnsi="Times New Roman" w:cs="Times New Roman"/>
          <w:sz w:val="24"/>
          <w:szCs w:val="24"/>
          <w:lang w:eastAsia="ru-RU"/>
        </w:rPr>
      </w:pPr>
      <w:r w:rsidRPr="00035B80">
        <w:rPr>
          <w:rFonts w:ascii="Times New Roman" w:eastAsia="Times New Roman" w:hAnsi="Times New Roman" w:cs="Times New Roman"/>
          <w:sz w:val="24"/>
          <w:szCs w:val="24"/>
          <w:lang w:eastAsia="ru-RU"/>
        </w:rPr>
        <w:t xml:space="preserve">Контрольно-счетная палата области отмечает, что при отсутствии в 2015, 2016 годах проверок использования бюджетных средств в подведомственных учреждениях, в 2017 году министерством проведены: проверка финансово-хозяйственной деятельности ГАУ «Амургосэкспертиза», не являющегося получателем средств областного бюджета, и проверка ГКУ Амурской области «Строитель» по вопросу использования бюджетных средств при подготовке к вводу в эксплуатацию объекта «Хирургический корпус на 250 коек ОГУЗ «АОДКБ» в г. Благовещенске, при том, что </w:t>
      </w:r>
      <w:r>
        <w:rPr>
          <w:rFonts w:ascii="Times New Roman" w:eastAsia="Times New Roman" w:hAnsi="Times New Roman" w:cs="Times New Roman"/>
          <w:sz w:val="24"/>
          <w:szCs w:val="24"/>
          <w:lang w:eastAsia="ru-RU"/>
        </w:rPr>
        <w:t xml:space="preserve">законность </w:t>
      </w:r>
      <w:r w:rsidRPr="00035B80">
        <w:rPr>
          <w:rFonts w:ascii="Times New Roman" w:eastAsia="Times New Roman" w:hAnsi="Times New Roman" w:cs="Times New Roman"/>
          <w:sz w:val="24"/>
          <w:szCs w:val="24"/>
          <w:lang w:eastAsia="ru-RU"/>
        </w:rPr>
        <w:t>расходовани</w:t>
      </w:r>
      <w:r>
        <w:rPr>
          <w:rFonts w:ascii="Times New Roman" w:eastAsia="Times New Roman" w:hAnsi="Times New Roman" w:cs="Times New Roman"/>
          <w:sz w:val="24"/>
          <w:szCs w:val="24"/>
          <w:lang w:eastAsia="ru-RU"/>
        </w:rPr>
        <w:t>я</w:t>
      </w:r>
      <w:r w:rsidRPr="00035B80">
        <w:rPr>
          <w:rFonts w:ascii="Times New Roman" w:eastAsia="Times New Roman" w:hAnsi="Times New Roman" w:cs="Times New Roman"/>
          <w:sz w:val="24"/>
          <w:szCs w:val="24"/>
          <w:lang w:eastAsia="ru-RU"/>
        </w:rPr>
        <w:t xml:space="preserve"> средств по указанному объекту было предметом проверки контрольно-счетной палаты Амурской област</w:t>
      </w:r>
      <w:r w:rsidR="004C3485">
        <w:rPr>
          <w:rFonts w:ascii="Times New Roman" w:eastAsia="Times New Roman" w:hAnsi="Times New Roman" w:cs="Times New Roman"/>
          <w:sz w:val="24"/>
          <w:szCs w:val="24"/>
          <w:lang w:eastAsia="ru-RU"/>
        </w:rPr>
        <w:t>и, проведенной в мае 2016 года.</w:t>
      </w:r>
    </w:p>
    <w:p w:rsidR="00B36094" w:rsidRDefault="00B36094" w:rsidP="00B36094">
      <w:pPr>
        <w:spacing w:after="0" w:line="240" w:lineRule="auto"/>
        <w:ind w:firstLine="709"/>
        <w:jc w:val="both"/>
        <w:rPr>
          <w:rFonts w:ascii="Times New Roman" w:eastAsia="Times New Roman" w:hAnsi="Times New Roman"/>
          <w:sz w:val="24"/>
          <w:szCs w:val="24"/>
          <w:lang w:eastAsia="ru-RU"/>
        </w:rPr>
      </w:pPr>
      <w:r w:rsidRPr="00035B80">
        <w:rPr>
          <w:rFonts w:ascii="Times New Roman" w:eastAsia="Times New Roman" w:hAnsi="Times New Roman" w:cs="Times New Roman"/>
          <w:sz w:val="24"/>
          <w:szCs w:val="24"/>
          <w:lang w:eastAsia="ru-RU"/>
        </w:rPr>
        <w:t>На 2018 год министерством запланировано проведение проверки ГКУ Амурской области «Строитель» по вопросу использования средств областного бюджета на проектирование 4 объектов, при том, что «</w:t>
      </w:r>
      <w:r>
        <w:rPr>
          <w:rFonts w:ascii="Times New Roman" w:eastAsia="Times New Roman" w:hAnsi="Times New Roman"/>
          <w:sz w:val="24"/>
          <w:szCs w:val="24"/>
          <w:lang w:eastAsia="ru-RU"/>
        </w:rPr>
        <w:t xml:space="preserve">Проверка отдельных вопросов деятельности </w:t>
      </w:r>
      <w:r w:rsidR="00C13998">
        <w:rPr>
          <w:rFonts w:ascii="Times New Roman" w:eastAsia="Times New Roman" w:hAnsi="Times New Roman"/>
          <w:sz w:val="24"/>
          <w:szCs w:val="24"/>
          <w:lang w:eastAsia="ru-RU"/>
        </w:rPr>
        <w:br/>
      </w:r>
      <w:r>
        <w:rPr>
          <w:rFonts w:ascii="Times New Roman" w:eastAsia="Times New Roman" w:hAnsi="Times New Roman"/>
          <w:sz w:val="24"/>
          <w:szCs w:val="24"/>
          <w:lang w:eastAsia="ru-RU"/>
        </w:rPr>
        <w:t>ГКУ Амурской области «Строитель» в части использования средств областного бюджета, выделенных в 2017 году в виде бюджетных инвестиций в объекты капитального строительства государственной собственности области» включена в план работы контрольно-счетной палаты области на 2018 год в соответствии с перечнем поручений Законодательного Собрания Амурской области, утвержденным Постановлением Законодательного Собрания Амурской области от 26.10.2017 № 13/412, и проведена в мае 2018 года.</w:t>
      </w:r>
    </w:p>
    <w:p w:rsidR="00B36094" w:rsidRPr="00035B80" w:rsidRDefault="00B36094" w:rsidP="00B360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Таким образом, проведенным анализом установлено дублирование со стороны министерства транспорта и строительства области контрольных мероприятий, проведенных ранее органом внешнего государственного финансового контроля, что свидетельствует о недостатках в планировании работы внутреннего финансового контроля и нерациональном использовании ресурсов (период проведения </w:t>
      </w:r>
      <w:r w:rsidRPr="00035B80">
        <w:rPr>
          <w:rFonts w:ascii="Times New Roman" w:eastAsia="Times New Roman" w:hAnsi="Times New Roman" w:cs="Times New Roman"/>
          <w:sz w:val="24"/>
          <w:szCs w:val="24"/>
          <w:lang w:eastAsia="ru-RU"/>
        </w:rPr>
        <w:t xml:space="preserve">проверки ГКУ Амурской области «Строитель» по вопросу использования бюджетных средств при подготовке к вводу в эксплуатацию объекта «Хирургический корпус на 250 коек ОГУЗ «АОДКБ» в г. Благовещенске: с 09.10.2017. – 03.11.2017, запланированный период проверки ГКУ Амурской области «Строитель» по вопросу использования средств областного бюджета на проектирование </w:t>
      </w:r>
      <w:r w:rsidRPr="00035B80">
        <w:rPr>
          <w:rFonts w:ascii="Times New Roman" w:eastAsia="Times New Roman" w:hAnsi="Times New Roman" w:cs="Times New Roman"/>
          <w:sz w:val="24"/>
          <w:szCs w:val="24"/>
          <w:lang w:eastAsia="ru-RU"/>
        </w:rPr>
        <w:br/>
        <w:t>4 объектов: сентябрь – декабрь 2018 года).</w:t>
      </w:r>
    </w:p>
    <w:p w:rsidR="00B36094"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714D">
        <w:rPr>
          <w:rFonts w:ascii="Times New Roman" w:eastAsia="Times New Roman" w:hAnsi="Times New Roman" w:cs="Times New Roman"/>
          <w:sz w:val="24"/>
          <w:szCs w:val="24"/>
          <w:lang w:eastAsia="ru-RU"/>
        </w:rPr>
        <w:t>Согласно представленным сведениям полномочия по осуществлению внутреннего финансового контроля и внутреннего финансового аудита возложен</w:t>
      </w:r>
      <w:r>
        <w:rPr>
          <w:rFonts w:ascii="Times New Roman" w:eastAsia="Times New Roman" w:hAnsi="Times New Roman" w:cs="Times New Roman"/>
          <w:sz w:val="24"/>
          <w:szCs w:val="24"/>
          <w:lang w:eastAsia="ru-RU"/>
        </w:rPr>
        <w:t>ы</w:t>
      </w:r>
      <w:r w:rsidRPr="00AF714D">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службу финансово-бюджетного контроля и аудита, численностью 2 человека</w:t>
      </w:r>
      <w:r w:rsidR="004C3485">
        <w:rPr>
          <w:rFonts w:ascii="Times New Roman" w:eastAsia="Times New Roman" w:hAnsi="Times New Roman" w:cs="Times New Roman"/>
          <w:sz w:val="24"/>
          <w:szCs w:val="24"/>
          <w:lang w:eastAsia="ru-RU"/>
        </w:rPr>
        <w:t>.</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AF714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Pr="00AF714D">
        <w:rPr>
          <w:rFonts w:ascii="Times New Roman" w:eastAsia="Times New Roman" w:hAnsi="Times New Roman" w:cs="Times New Roman"/>
          <w:sz w:val="24"/>
          <w:szCs w:val="24"/>
          <w:lang w:eastAsia="ru-RU"/>
        </w:rPr>
        <w:t xml:space="preserve"> году не подготовлено ни одного заключения по результатам проведения внутреннего финансового аудита, вопросами которого </w:t>
      </w:r>
      <w:r w:rsidRPr="00AF714D">
        <w:rPr>
          <w:rFonts w:ascii="Times New Roman" w:hAnsi="Times New Roman" w:cs="Times New Roman"/>
          <w:sz w:val="24"/>
          <w:szCs w:val="24"/>
        </w:rPr>
        <w:t>в соответствии с «</w:t>
      </w:r>
      <w:hyperlink r:id="rId71" w:history="1">
        <w:r w:rsidRPr="00AF714D">
          <w:rPr>
            <w:rFonts w:ascii="Times New Roman" w:eastAsia="Times New Roman" w:hAnsi="Times New Roman" w:cs="Times New Roman"/>
            <w:sz w:val="24"/>
            <w:szCs w:val="24"/>
            <w:lang w:eastAsia="ru-RU"/>
          </w:rPr>
          <w:t>Порядк</w:t>
        </w:r>
      </w:hyperlink>
      <w:r w:rsidRPr="00AF714D">
        <w:rPr>
          <w:rFonts w:ascii="Times New Roman" w:hAnsi="Times New Roman" w:cs="Times New Roman"/>
          <w:sz w:val="24"/>
          <w:szCs w:val="24"/>
        </w:rPr>
        <w:t>ом</w:t>
      </w:r>
      <w:r w:rsidRPr="00AF714D">
        <w:rPr>
          <w:rFonts w:ascii="Times New Roman" w:eastAsia="Times New Roman" w:hAnsi="Times New Roman" w:cs="Times New Roman"/>
          <w:sz w:val="24"/>
          <w:szCs w:val="24"/>
          <w:lang w:eastAsia="ru-RU"/>
        </w:rPr>
        <w:t xml:space="preserve"> осуществления </w:t>
      </w:r>
      <w:r w:rsidRPr="00AF714D">
        <w:rPr>
          <w:rFonts w:ascii="Times New Roman" w:hAnsi="Times New Roman" w:cs="Times New Roman"/>
          <w:sz w:val="24"/>
          <w:szCs w:val="24"/>
        </w:rPr>
        <w:t xml:space="preserve">внутреннего финансового контроля и внутреннего финансового аудита», утвержденным Постановлением Правительства Амурской области от 30.06.2011 № 439, </w:t>
      </w:r>
      <w:r w:rsidRPr="00AF714D">
        <w:rPr>
          <w:rFonts w:ascii="Times New Roman" w:eastAsia="Times New Roman" w:hAnsi="Times New Roman" w:cs="Times New Roman"/>
          <w:sz w:val="24"/>
          <w:szCs w:val="24"/>
          <w:lang w:eastAsia="ru-RU"/>
        </w:rPr>
        <w:t>являю</w:t>
      </w:r>
      <w:r w:rsidRPr="00AF714D">
        <w:rPr>
          <w:rFonts w:ascii="Times New Roman" w:hAnsi="Times New Roman" w:cs="Times New Roman"/>
          <w:sz w:val="24"/>
          <w:szCs w:val="24"/>
        </w:rPr>
        <w:t>тся проведение постоянного анализа составления бюджетной отчетности и ведения бюджетного учета, осуществление оценки экономности и результативности расходования бюджетных средств для достижения целей, задач и целевых прогнозных показателей.</w:t>
      </w:r>
    </w:p>
    <w:p w:rsidR="00B36094" w:rsidRPr="00AF714D" w:rsidRDefault="00B36094" w:rsidP="00B3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Проведенный а</w:t>
      </w:r>
      <w:r w:rsidRPr="00AF714D">
        <w:rPr>
          <w:rFonts w:ascii="Times New Roman" w:eastAsia="Times New Roman" w:hAnsi="Times New Roman" w:cs="Times New Roman"/>
          <w:sz w:val="24"/>
          <w:szCs w:val="24"/>
          <w:lang w:eastAsia="ru-RU"/>
        </w:rPr>
        <w:t xml:space="preserve">нализ </w:t>
      </w:r>
      <w:r>
        <w:rPr>
          <w:rFonts w:ascii="Times New Roman" w:eastAsia="Times New Roman" w:hAnsi="Times New Roman" w:cs="Times New Roman"/>
          <w:sz w:val="24"/>
          <w:szCs w:val="24"/>
          <w:lang w:eastAsia="ru-RU"/>
        </w:rPr>
        <w:t xml:space="preserve">позволяет констатировать недостаточный уровень организации и осуществления </w:t>
      </w:r>
      <w:r w:rsidRPr="00B269A3">
        <w:rPr>
          <w:rFonts w:ascii="Times New Roman" w:eastAsia="Times New Roman" w:hAnsi="Times New Roman" w:cs="Times New Roman"/>
          <w:sz w:val="24"/>
          <w:szCs w:val="24"/>
          <w:lang w:eastAsia="ru-RU"/>
        </w:rPr>
        <w:t>министерством</w:t>
      </w:r>
      <w:r w:rsidR="00B269A3" w:rsidRPr="00B269A3">
        <w:rPr>
          <w:rFonts w:ascii="Times New Roman" w:eastAsia="Times New Roman" w:hAnsi="Times New Roman" w:cs="Times New Roman"/>
          <w:sz w:val="24"/>
          <w:szCs w:val="24"/>
          <w:lang w:eastAsia="ru-RU"/>
        </w:rPr>
        <w:t xml:space="preserve"> транспорта и строительства</w:t>
      </w:r>
      <w:r w:rsidR="00B269A3" w:rsidRPr="004E3D90">
        <w:rPr>
          <w:rFonts w:ascii="Times New Roman" w:eastAsia="Times New Roman" w:hAnsi="Times New Roman" w:cs="Times New Roman"/>
          <w:sz w:val="24"/>
          <w:szCs w:val="24"/>
          <w:lang w:eastAsia="ru-RU"/>
        </w:rPr>
        <w:t xml:space="preserve"> Амурской области</w:t>
      </w:r>
      <w:r w:rsidRPr="00AF714D">
        <w:rPr>
          <w:rFonts w:ascii="Times New Roman" w:eastAsia="Times New Roman" w:hAnsi="Times New Roman" w:cs="Times New Roman"/>
          <w:sz w:val="24"/>
          <w:szCs w:val="24"/>
          <w:lang w:eastAsia="ru-RU"/>
        </w:rPr>
        <w:t>, как главным распорядителем бюджетных средств, полномочий в части внутреннего финансового контроля и внутреннего финансового аудита в 201</w:t>
      </w:r>
      <w:r>
        <w:rPr>
          <w:rFonts w:ascii="Times New Roman" w:eastAsia="Times New Roman" w:hAnsi="Times New Roman" w:cs="Times New Roman"/>
          <w:sz w:val="24"/>
          <w:szCs w:val="24"/>
          <w:lang w:eastAsia="ru-RU"/>
        </w:rPr>
        <w:t>7</w:t>
      </w:r>
      <w:r w:rsidRPr="00AF714D">
        <w:rPr>
          <w:rFonts w:ascii="Times New Roman" w:eastAsia="Times New Roman" w:hAnsi="Times New Roman" w:cs="Times New Roman"/>
          <w:sz w:val="24"/>
          <w:szCs w:val="24"/>
          <w:lang w:eastAsia="ru-RU"/>
        </w:rPr>
        <w:t xml:space="preserve"> году.</w:t>
      </w:r>
    </w:p>
    <w:p w:rsidR="00B36094" w:rsidRDefault="00B36094" w:rsidP="00B36094">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128F2">
        <w:rPr>
          <w:rFonts w:ascii="Times New Roman" w:eastAsia="Times New Roman" w:hAnsi="Times New Roman" w:cs="Times New Roman"/>
          <w:i/>
          <w:sz w:val="24"/>
          <w:szCs w:val="24"/>
          <w:lang w:eastAsia="ru-RU"/>
        </w:rPr>
        <w:lastRenderedPageBreak/>
        <w:t xml:space="preserve">Результаты проведенного анализа по осуществлению главными распорядителями средств </w:t>
      </w:r>
      <w:r w:rsidRPr="002C6347">
        <w:rPr>
          <w:rFonts w:ascii="Times New Roman" w:eastAsia="Times New Roman" w:hAnsi="Times New Roman" w:cs="Times New Roman"/>
          <w:i/>
          <w:sz w:val="24"/>
          <w:szCs w:val="24"/>
          <w:lang w:eastAsia="ru-RU"/>
        </w:rPr>
        <w:t xml:space="preserve">областного бюджета </w:t>
      </w:r>
      <w:r w:rsidRPr="002C6347">
        <w:rPr>
          <w:rFonts w:ascii="Times New Roman" w:hAnsi="Times New Roman" w:cs="Times New Roman"/>
          <w:i/>
          <w:sz w:val="24"/>
          <w:szCs w:val="24"/>
        </w:rPr>
        <w:t xml:space="preserve">внутреннего </w:t>
      </w:r>
      <w:r w:rsidRPr="00C00B59">
        <w:rPr>
          <w:rFonts w:ascii="Times New Roman" w:hAnsi="Times New Roman" w:cs="Times New Roman"/>
          <w:i/>
          <w:sz w:val="24"/>
          <w:szCs w:val="24"/>
        </w:rPr>
        <w:t xml:space="preserve">финансового контроля и внутреннего финансового аудита </w:t>
      </w:r>
      <w:r w:rsidRPr="00C00B59">
        <w:rPr>
          <w:rFonts w:ascii="Times New Roman" w:eastAsia="Times New Roman" w:hAnsi="Times New Roman" w:cs="Times New Roman"/>
          <w:i/>
          <w:sz w:val="24"/>
          <w:szCs w:val="24"/>
          <w:lang w:eastAsia="ru-RU"/>
        </w:rPr>
        <w:t xml:space="preserve">позволяют сделать вывод о сохранении в 2017 году низкого уровня осуществления </w:t>
      </w:r>
      <w:r w:rsidRPr="00C00B59">
        <w:rPr>
          <w:rFonts w:ascii="Times New Roman" w:hAnsi="Times New Roman" w:cs="Times New Roman"/>
          <w:i/>
          <w:sz w:val="24"/>
          <w:szCs w:val="24"/>
        </w:rPr>
        <w:t>внутреннего финансового контроля</w:t>
      </w:r>
      <w:r w:rsidRPr="00C00B59">
        <w:rPr>
          <w:rFonts w:ascii="Times New Roman" w:eastAsia="Times New Roman" w:hAnsi="Times New Roman" w:cs="Times New Roman"/>
          <w:i/>
          <w:sz w:val="24"/>
          <w:szCs w:val="24"/>
          <w:lang w:eastAsia="ru-RU"/>
        </w:rPr>
        <w:t>, фактическом отсутствии мероприятий по внутреннему финансовому аудиту.</w:t>
      </w:r>
      <w:r>
        <w:rPr>
          <w:rFonts w:ascii="Times New Roman" w:eastAsia="Times New Roman" w:hAnsi="Times New Roman" w:cs="Times New Roman"/>
          <w:i/>
          <w:sz w:val="24"/>
          <w:szCs w:val="24"/>
          <w:lang w:eastAsia="ru-RU"/>
        </w:rPr>
        <w:t xml:space="preserve"> </w:t>
      </w:r>
      <w:r w:rsidRPr="00C00B59">
        <w:rPr>
          <w:rFonts w:ascii="Times New Roman" w:hAnsi="Times New Roman" w:cs="Times New Roman"/>
          <w:i/>
          <w:sz w:val="24"/>
          <w:szCs w:val="24"/>
        </w:rPr>
        <w:t>Практически</w:t>
      </w:r>
      <w:r w:rsidR="003E76DE">
        <w:rPr>
          <w:rFonts w:ascii="Times New Roman" w:hAnsi="Times New Roman" w:cs="Times New Roman"/>
          <w:i/>
          <w:sz w:val="24"/>
          <w:szCs w:val="24"/>
        </w:rPr>
        <w:t xml:space="preserve"> </w:t>
      </w:r>
      <w:r w:rsidRPr="00C00B59">
        <w:rPr>
          <w:rFonts w:ascii="Times New Roman" w:hAnsi="Times New Roman" w:cs="Times New Roman"/>
          <w:i/>
          <w:sz w:val="24"/>
          <w:szCs w:val="24"/>
        </w:rPr>
        <w:t>для всех главных распорядителей бюджетных средств области актуальны рекомендации о необходимости обеспечения системного подхода к организации работы в части внутреннего финансового контроля и аудита, направленного на повышение экономности и результативности использования бюджетных средств для достижения целей, задач и целевых прогнозных показателей.</w:t>
      </w:r>
    </w:p>
    <w:p w:rsidR="009C77BF" w:rsidRDefault="009C77BF" w:rsidP="009C77BF">
      <w:pPr>
        <w:spacing w:after="0" w:line="240" w:lineRule="auto"/>
        <w:ind w:firstLine="709"/>
        <w:jc w:val="both"/>
        <w:rPr>
          <w:rFonts w:ascii="Times New Roman" w:eastAsia="Times New Roman" w:hAnsi="Times New Roman" w:cs="Times New Roman"/>
          <w:b/>
          <w:sz w:val="24"/>
          <w:szCs w:val="24"/>
          <w:lang w:eastAsia="ru-RU"/>
        </w:rPr>
      </w:pPr>
    </w:p>
    <w:p w:rsidR="009C77BF" w:rsidRPr="00FB2899" w:rsidRDefault="009C77BF" w:rsidP="009C77BF">
      <w:pPr>
        <w:spacing w:after="0" w:line="240" w:lineRule="auto"/>
        <w:ind w:firstLine="709"/>
        <w:jc w:val="both"/>
        <w:rPr>
          <w:rFonts w:ascii="Times New Roman" w:eastAsia="Times New Roman" w:hAnsi="Times New Roman" w:cs="Times New Roman"/>
          <w:b/>
          <w:sz w:val="24"/>
          <w:szCs w:val="24"/>
          <w:lang w:eastAsia="ru-RU"/>
        </w:rPr>
      </w:pPr>
      <w:r w:rsidRPr="00FB2899">
        <w:rPr>
          <w:rFonts w:ascii="Times New Roman" w:eastAsia="Times New Roman" w:hAnsi="Times New Roman" w:cs="Times New Roman"/>
          <w:b/>
          <w:sz w:val="24"/>
          <w:szCs w:val="24"/>
          <w:lang w:eastAsia="ru-RU"/>
        </w:rPr>
        <w:t>Контрольно-счетная палата Амурской области считает возможным принятие проекта закона Амурской области «Об исполнении областного бюджета за 201</w:t>
      </w:r>
      <w:r>
        <w:rPr>
          <w:rFonts w:ascii="Times New Roman" w:eastAsia="Times New Roman" w:hAnsi="Times New Roman" w:cs="Times New Roman"/>
          <w:b/>
          <w:sz w:val="24"/>
          <w:szCs w:val="24"/>
          <w:lang w:eastAsia="ru-RU"/>
        </w:rPr>
        <w:t>7</w:t>
      </w:r>
      <w:r w:rsidRPr="00FB2899">
        <w:rPr>
          <w:rFonts w:ascii="Times New Roman" w:eastAsia="Times New Roman" w:hAnsi="Times New Roman" w:cs="Times New Roman"/>
          <w:b/>
          <w:sz w:val="24"/>
          <w:szCs w:val="24"/>
          <w:lang w:eastAsia="ru-RU"/>
        </w:rPr>
        <w:t xml:space="preserve"> год» в первом чтении и в целях устранения отмеченных в настоящем заключении замечаний и недопущения их при исполнении бюджета текущего года и будущих периодов предлагает Правительству Амурской области:</w:t>
      </w:r>
    </w:p>
    <w:p w:rsidR="009C77BF" w:rsidRPr="00587E73" w:rsidRDefault="009C77BF" w:rsidP="00481730">
      <w:pPr>
        <w:pStyle w:val="afa"/>
        <w:widowControl/>
        <w:numPr>
          <w:ilvl w:val="0"/>
          <w:numId w:val="26"/>
        </w:numPr>
        <w:tabs>
          <w:tab w:val="left" w:pos="1134"/>
          <w:tab w:val="left" w:pos="1276"/>
        </w:tabs>
        <w:autoSpaceDE/>
        <w:autoSpaceDN/>
        <w:adjustRightInd/>
        <w:ind w:left="0" w:firstLine="709"/>
        <w:jc w:val="both"/>
        <w:rPr>
          <w:sz w:val="24"/>
          <w:szCs w:val="24"/>
        </w:rPr>
      </w:pPr>
      <w:r w:rsidRPr="00587E73">
        <w:rPr>
          <w:sz w:val="24"/>
          <w:szCs w:val="24"/>
        </w:rPr>
        <w:t xml:space="preserve">При разработке, корректировке и реализации документов стратегического планирования области в рамках целеполагания, прогнозирования, планирования и программирования руководствоваться положениями Бюджетного кодекса Российской Федерации, Федерального закона от 28.06.2014 № 172-ФЗ «О стратегическом планировании в Российской Федерации» (ред. от 31.12.2017) и Закона Амурской области от 10.06.2015 </w:t>
      </w:r>
      <w:r w:rsidRPr="00587E73">
        <w:rPr>
          <w:sz w:val="24"/>
          <w:szCs w:val="24"/>
        </w:rPr>
        <w:br/>
        <w:t>№ 552-ОЗ «Об отдельных вопросах стратегического планирования в Амурской области» (ред. от 06.04.2018).</w:t>
      </w:r>
    </w:p>
    <w:p w:rsidR="009C77BF" w:rsidRPr="00587E73" w:rsidRDefault="009C77BF" w:rsidP="00481730">
      <w:pPr>
        <w:pStyle w:val="afa"/>
        <w:widowControl/>
        <w:numPr>
          <w:ilvl w:val="0"/>
          <w:numId w:val="26"/>
        </w:numPr>
        <w:tabs>
          <w:tab w:val="left" w:pos="1134"/>
          <w:tab w:val="left" w:pos="1276"/>
        </w:tabs>
        <w:autoSpaceDE/>
        <w:autoSpaceDN/>
        <w:adjustRightInd/>
        <w:ind w:left="0" w:firstLine="709"/>
        <w:jc w:val="both"/>
        <w:rPr>
          <w:sz w:val="24"/>
          <w:szCs w:val="24"/>
        </w:rPr>
      </w:pPr>
      <w:r w:rsidRPr="00587E73">
        <w:rPr>
          <w:sz w:val="24"/>
          <w:szCs w:val="24"/>
        </w:rPr>
        <w:t>Обеспечить своевременную корректировку показателей, утвержденных в документах стратегического планирования Амурской области, разрабатываемых в соответствии с Законом Амурской области от 10.06.2015 № 552-ОЗ «Об отдельных вопросах стратегического планирования в Амурской области», исходя из складывающихся макроэкономических условий.</w:t>
      </w:r>
    </w:p>
    <w:p w:rsidR="009C77BF" w:rsidRPr="00931FE1" w:rsidRDefault="009C77BF" w:rsidP="00481730">
      <w:pPr>
        <w:pStyle w:val="afa"/>
        <w:numPr>
          <w:ilvl w:val="0"/>
          <w:numId w:val="26"/>
        </w:numPr>
        <w:tabs>
          <w:tab w:val="left" w:pos="709"/>
          <w:tab w:val="left" w:pos="1134"/>
          <w:tab w:val="left" w:pos="1276"/>
        </w:tabs>
        <w:ind w:left="0" w:firstLine="709"/>
        <w:jc w:val="both"/>
        <w:rPr>
          <w:sz w:val="24"/>
          <w:szCs w:val="24"/>
        </w:rPr>
      </w:pPr>
      <w:r w:rsidRPr="00931FE1">
        <w:rPr>
          <w:sz w:val="24"/>
          <w:szCs w:val="24"/>
        </w:rPr>
        <w:t>Принять меры по повышению уровня достоверности прогнозирования доходов областного бюджета, эффективности администрирования доходов, закрепленных за главными администраторами доходов областного бюджета.</w:t>
      </w:r>
    </w:p>
    <w:p w:rsidR="009C77BF" w:rsidRPr="00931FE1" w:rsidRDefault="009C77BF" w:rsidP="00481730">
      <w:pPr>
        <w:pStyle w:val="afa"/>
        <w:numPr>
          <w:ilvl w:val="0"/>
          <w:numId w:val="26"/>
        </w:numPr>
        <w:tabs>
          <w:tab w:val="left" w:pos="709"/>
          <w:tab w:val="left" w:pos="1134"/>
          <w:tab w:val="left" w:pos="1276"/>
        </w:tabs>
        <w:ind w:left="0" w:firstLine="709"/>
        <w:jc w:val="both"/>
        <w:rPr>
          <w:rFonts w:eastAsia="Calibri"/>
          <w:sz w:val="24"/>
          <w:szCs w:val="24"/>
        </w:rPr>
      </w:pPr>
      <w:r w:rsidRPr="00931FE1">
        <w:rPr>
          <w:sz w:val="24"/>
          <w:szCs w:val="24"/>
        </w:rPr>
        <w:t>Продолжить работу по реализации комплекса мероприятий, направленных на развитие доходного потенциала области, позволяющих обеспечить исполнение расходных обязательств, а также снижение дефицита бюджета, повышение эффективности управления внутренними заимствованиями области с целью снижения долговой нагрузки на областной бюджет, обеспечить выполнение основных мероприятий по сокращению объема государственного долга Амурской области и дефицита областного бюджета, утвержденных р</w:t>
      </w:r>
      <w:r w:rsidRPr="00931FE1">
        <w:rPr>
          <w:rFonts w:eastAsia="Calibri"/>
          <w:sz w:val="24"/>
          <w:szCs w:val="24"/>
        </w:rPr>
        <w:t>аспоряжением Правительства Амурской области от 06.07.2016 № 67-р «Об утверждении долговой политики Амурской области на 2017 и на плановый период 2018 и 2019 годов».</w:t>
      </w:r>
    </w:p>
    <w:p w:rsidR="009C77BF" w:rsidRPr="00931FE1" w:rsidRDefault="009C77BF" w:rsidP="00481730">
      <w:pPr>
        <w:pStyle w:val="afa"/>
        <w:widowControl/>
        <w:numPr>
          <w:ilvl w:val="0"/>
          <w:numId w:val="26"/>
        </w:numPr>
        <w:tabs>
          <w:tab w:val="left" w:pos="1134"/>
          <w:tab w:val="left" w:pos="1276"/>
        </w:tabs>
        <w:autoSpaceDE/>
        <w:autoSpaceDN/>
        <w:adjustRightInd/>
        <w:ind w:left="0" w:firstLine="709"/>
        <w:jc w:val="both"/>
        <w:rPr>
          <w:sz w:val="24"/>
          <w:szCs w:val="24"/>
        </w:rPr>
      </w:pPr>
      <w:r w:rsidRPr="00931FE1">
        <w:rPr>
          <w:sz w:val="24"/>
          <w:szCs w:val="24"/>
        </w:rPr>
        <w:t xml:space="preserve">Обратить внимание министерства финансов Амурской области, главных распорядителей средств областного бюджета на необходимость безусловного соблюдения условий предоставления бюджетных кредитов, межбюджетных трансфертов, </w:t>
      </w:r>
      <w:r>
        <w:rPr>
          <w:sz w:val="24"/>
          <w:szCs w:val="24"/>
        </w:rPr>
        <w:t xml:space="preserve">исключив </w:t>
      </w:r>
      <w:r w:rsidRPr="00931FE1">
        <w:rPr>
          <w:bCs/>
          <w:sz w:val="24"/>
          <w:szCs w:val="24"/>
        </w:rPr>
        <w:t>риск</w:t>
      </w:r>
      <w:r w:rsidR="00F05A8F">
        <w:rPr>
          <w:bCs/>
          <w:sz w:val="24"/>
          <w:szCs w:val="24"/>
        </w:rPr>
        <w:t>и</w:t>
      </w:r>
      <w:r w:rsidRPr="00931FE1">
        <w:rPr>
          <w:bCs/>
          <w:sz w:val="24"/>
          <w:szCs w:val="24"/>
        </w:rPr>
        <w:t xml:space="preserve"> применения к областному бюджету </w:t>
      </w:r>
      <w:r w:rsidRPr="00931FE1">
        <w:rPr>
          <w:sz w:val="24"/>
          <w:szCs w:val="24"/>
        </w:rPr>
        <w:t>денежных взысканий (штрафов) за нарушение условий соглашений.</w:t>
      </w:r>
    </w:p>
    <w:p w:rsidR="009C77BF" w:rsidRPr="00931FE1" w:rsidRDefault="009C77BF" w:rsidP="00481730">
      <w:pPr>
        <w:pStyle w:val="afa"/>
        <w:widowControl/>
        <w:numPr>
          <w:ilvl w:val="0"/>
          <w:numId w:val="26"/>
        </w:numPr>
        <w:tabs>
          <w:tab w:val="left" w:pos="1134"/>
          <w:tab w:val="left" w:pos="1276"/>
        </w:tabs>
        <w:autoSpaceDE/>
        <w:autoSpaceDN/>
        <w:adjustRightInd/>
        <w:ind w:left="0" w:firstLine="709"/>
        <w:jc w:val="both"/>
        <w:rPr>
          <w:sz w:val="24"/>
          <w:szCs w:val="24"/>
        </w:rPr>
      </w:pPr>
      <w:r w:rsidRPr="00931FE1">
        <w:rPr>
          <w:sz w:val="24"/>
          <w:szCs w:val="24"/>
        </w:rPr>
        <w:t>Обязать главных распорядителей бюджетных средств – координаторов и участников государственных программ Амурской области:</w:t>
      </w:r>
    </w:p>
    <w:p w:rsidR="009C77BF" w:rsidRPr="00931FE1" w:rsidRDefault="009C77BF" w:rsidP="00481730">
      <w:pPr>
        <w:pStyle w:val="afa"/>
        <w:widowControl/>
        <w:numPr>
          <w:ilvl w:val="1"/>
          <w:numId w:val="26"/>
        </w:numPr>
        <w:tabs>
          <w:tab w:val="left" w:pos="1134"/>
          <w:tab w:val="left" w:pos="1276"/>
        </w:tabs>
        <w:autoSpaceDE/>
        <w:autoSpaceDN/>
        <w:adjustRightInd/>
        <w:ind w:left="0" w:firstLine="709"/>
        <w:jc w:val="both"/>
        <w:rPr>
          <w:sz w:val="24"/>
          <w:szCs w:val="24"/>
        </w:rPr>
      </w:pPr>
      <w:r>
        <w:rPr>
          <w:sz w:val="24"/>
          <w:szCs w:val="24"/>
        </w:rPr>
        <w:t xml:space="preserve"> </w:t>
      </w:r>
      <w:r w:rsidRPr="00931FE1">
        <w:rPr>
          <w:sz w:val="24"/>
          <w:szCs w:val="24"/>
        </w:rPr>
        <w:t xml:space="preserve">Обеспечить соблюдение требований Порядка принятия решений о разработке государственных программ Амурской области, их формирования и реализации, а также проведения оценки эффективности, утвержденного постановлением Правительства Амурской области от 29.07.2013 № 329, при подготовке сводного годового доклада о ходе реализации и оценке эффективности государственных программ области в части соответствия информации, изложенной в текстовой части доклада и аналогичной информации, представляемой в приложениях к нему, а также в части сведений о причинах </w:t>
      </w:r>
      <w:r w:rsidRPr="00931FE1">
        <w:rPr>
          <w:sz w:val="24"/>
          <w:szCs w:val="24"/>
        </w:rPr>
        <w:lastRenderedPageBreak/>
        <w:t>невыполнения плановых показателей и индикаторов эффективности государственных программ, подпрограмм.</w:t>
      </w:r>
    </w:p>
    <w:p w:rsidR="009C77BF" w:rsidRPr="00601A85" w:rsidRDefault="009C77BF" w:rsidP="00481730">
      <w:pPr>
        <w:pStyle w:val="afa"/>
        <w:widowControl/>
        <w:numPr>
          <w:ilvl w:val="1"/>
          <w:numId w:val="26"/>
        </w:numPr>
        <w:tabs>
          <w:tab w:val="left" w:pos="1134"/>
          <w:tab w:val="left" w:pos="1276"/>
        </w:tabs>
        <w:autoSpaceDE/>
        <w:autoSpaceDN/>
        <w:adjustRightInd/>
        <w:ind w:left="0" w:firstLine="709"/>
        <w:jc w:val="both"/>
        <w:rPr>
          <w:sz w:val="24"/>
          <w:szCs w:val="24"/>
        </w:rPr>
      </w:pPr>
      <w:r w:rsidRPr="00601A85">
        <w:rPr>
          <w:sz w:val="24"/>
          <w:szCs w:val="24"/>
        </w:rPr>
        <w:t>В целях эффективного расходования бюджетных средств обеспечить своевременное и полное использование целевых средств, поступающих из федерального бюджета, достижение показателей и индикаторов эффективности мероприятий и подпрограмм.</w:t>
      </w:r>
    </w:p>
    <w:p w:rsidR="009C77BF" w:rsidRPr="00931FE1" w:rsidRDefault="009C77BF" w:rsidP="00481730">
      <w:pPr>
        <w:pStyle w:val="afa"/>
        <w:numPr>
          <w:ilvl w:val="1"/>
          <w:numId w:val="26"/>
        </w:numPr>
        <w:tabs>
          <w:tab w:val="left" w:pos="709"/>
          <w:tab w:val="left" w:pos="1134"/>
          <w:tab w:val="left" w:pos="1276"/>
        </w:tabs>
        <w:ind w:left="0" w:firstLine="709"/>
        <w:jc w:val="both"/>
        <w:rPr>
          <w:sz w:val="24"/>
          <w:szCs w:val="24"/>
        </w:rPr>
      </w:pPr>
      <w:r w:rsidRPr="00931FE1">
        <w:rPr>
          <w:sz w:val="24"/>
          <w:szCs w:val="24"/>
        </w:rPr>
        <w:t>Принять меры к повышению качества планирования расходов по мероприятиям государственных программ, предусматривающим бюджетные инвестиции в объекты капитального строительства. Расходы на изготовление проектно-сметной документации, строительство и реконструкцию вновь начинаемых объектов государственной собственности области осуществлять при наличии ресурсного обеспечения, реальных возможностей и перспектив строительства.</w:t>
      </w:r>
    </w:p>
    <w:p w:rsidR="009C77BF" w:rsidRPr="00931FE1" w:rsidRDefault="009C77BF" w:rsidP="00481730">
      <w:pPr>
        <w:pStyle w:val="afa"/>
        <w:widowControl/>
        <w:numPr>
          <w:ilvl w:val="1"/>
          <w:numId w:val="26"/>
        </w:numPr>
        <w:tabs>
          <w:tab w:val="left" w:pos="1134"/>
          <w:tab w:val="left" w:pos="1276"/>
        </w:tabs>
        <w:autoSpaceDE/>
        <w:autoSpaceDN/>
        <w:adjustRightInd/>
        <w:ind w:left="0" w:firstLine="709"/>
        <w:jc w:val="both"/>
        <w:rPr>
          <w:sz w:val="24"/>
          <w:szCs w:val="24"/>
        </w:rPr>
      </w:pPr>
      <w:r w:rsidRPr="00931FE1">
        <w:rPr>
          <w:sz w:val="24"/>
          <w:szCs w:val="24"/>
        </w:rPr>
        <w:t>В целях предотвращени</w:t>
      </w:r>
      <w:r>
        <w:rPr>
          <w:sz w:val="24"/>
          <w:szCs w:val="24"/>
        </w:rPr>
        <w:t>я</w:t>
      </w:r>
      <w:r w:rsidRPr="00931FE1">
        <w:rPr>
          <w:sz w:val="24"/>
          <w:szCs w:val="24"/>
        </w:rPr>
        <w:t xml:space="preserve"> рисков неэффективного использования бюджетных средств, использованных на государственные капитальные вложения, разработать комплекс мероприятий, направленных на завершение строительства объектов с высокой степенью готовности, принятие решений о консервации объектов, не предусмотренных для завершения строительством, и выработку предложений по их дальнейшему использованию.</w:t>
      </w:r>
    </w:p>
    <w:p w:rsidR="009C77BF" w:rsidRPr="00931FE1" w:rsidRDefault="009C77BF" w:rsidP="00481730">
      <w:pPr>
        <w:pStyle w:val="afa"/>
        <w:widowControl/>
        <w:numPr>
          <w:ilvl w:val="0"/>
          <w:numId w:val="26"/>
        </w:numPr>
        <w:tabs>
          <w:tab w:val="left" w:pos="709"/>
          <w:tab w:val="left" w:pos="1134"/>
          <w:tab w:val="left" w:pos="1276"/>
        </w:tabs>
        <w:ind w:left="0" w:firstLine="709"/>
        <w:jc w:val="both"/>
        <w:rPr>
          <w:sz w:val="24"/>
          <w:szCs w:val="24"/>
        </w:rPr>
      </w:pPr>
      <w:r w:rsidRPr="00931FE1">
        <w:rPr>
          <w:sz w:val="24"/>
          <w:szCs w:val="24"/>
        </w:rPr>
        <w:t>Обязать руководителей министерств и управлений - главных распорядителей средств областного бюджета, принять меры по обеспечению в полном объеме бюджетных полномочий главных распорядителей бюджетных средств по организации и осуществлению внутреннего финансового контроля и внутреннего финансового аудита.</w:t>
      </w:r>
    </w:p>
    <w:p w:rsidR="009C77BF" w:rsidRPr="00931FE1" w:rsidRDefault="009C77BF" w:rsidP="00481730">
      <w:pPr>
        <w:pStyle w:val="afa"/>
        <w:widowControl/>
        <w:numPr>
          <w:ilvl w:val="0"/>
          <w:numId w:val="26"/>
        </w:numPr>
        <w:tabs>
          <w:tab w:val="left" w:pos="709"/>
          <w:tab w:val="left" w:pos="1134"/>
          <w:tab w:val="left" w:pos="1276"/>
        </w:tabs>
        <w:ind w:left="0" w:firstLine="709"/>
        <w:jc w:val="both"/>
        <w:rPr>
          <w:sz w:val="24"/>
          <w:szCs w:val="24"/>
        </w:rPr>
      </w:pPr>
      <w:r w:rsidRPr="00931FE1">
        <w:rPr>
          <w:sz w:val="24"/>
          <w:szCs w:val="24"/>
        </w:rPr>
        <w:t xml:space="preserve">В целях обеспечения единообразного подхода к организации и проведению внутреннего финансового контроля и внутреннего финансового аудита главными администраторами бюджетных средств, повышения эффективности и действенности внутреннего финансового контроля рассмотреть вопрос внесения изменений в </w:t>
      </w:r>
      <w:hyperlink r:id="rId72" w:history="1">
        <w:r w:rsidRPr="00931FE1">
          <w:rPr>
            <w:sz w:val="24"/>
            <w:szCs w:val="24"/>
          </w:rPr>
          <w:t>Порядок</w:t>
        </w:r>
      </w:hyperlink>
      <w:r w:rsidRPr="00931FE1">
        <w:rPr>
          <w:sz w:val="24"/>
          <w:szCs w:val="24"/>
        </w:rPr>
        <w:t xml:space="preserve"> осуществления внутреннего финансового контроля и внутреннего финансового аудита, утвержденный Постановлением Правительства Амурской области от 30.06.2011 № 439, в части установления положений о направлении материалов проверок по фактам нарушений, за совершение которых применяются бюджетные меры принуждения, а также предусмотрена административная ответственность, в адрес министерства финансов области для принятия решений о применении бюджетных мер принуждения и рассмотрения вопроса о возбуждении дел об </w:t>
      </w:r>
      <w:r w:rsidR="00481730">
        <w:rPr>
          <w:sz w:val="24"/>
          <w:szCs w:val="24"/>
        </w:rPr>
        <w:t>административном правонарушении.</w:t>
      </w:r>
    </w:p>
    <w:p w:rsidR="009C77BF" w:rsidRPr="00931FE1" w:rsidRDefault="009C77BF" w:rsidP="00481730">
      <w:pPr>
        <w:pStyle w:val="afa"/>
        <w:widowControl/>
        <w:numPr>
          <w:ilvl w:val="0"/>
          <w:numId w:val="26"/>
        </w:numPr>
        <w:tabs>
          <w:tab w:val="left" w:pos="709"/>
          <w:tab w:val="left" w:pos="1134"/>
          <w:tab w:val="left" w:pos="1276"/>
        </w:tabs>
        <w:ind w:left="0" w:firstLine="709"/>
        <w:jc w:val="both"/>
        <w:rPr>
          <w:sz w:val="24"/>
          <w:szCs w:val="24"/>
        </w:rPr>
      </w:pPr>
      <w:r w:rsidRPr="00931FE1">
        <w:rPr>
          <w:sz w:val="24"/>
          <w:szCs w:val="24"/>
        </w:rPr>
        <w:t xml:space="preserve">Обратить внимание министерства финансов Амурской области на обеспечение координации мероприятий внутреннего финансового контроля, не допуская случаев дублирования контрольных мероприятий </w:t>
      </w:r>
      <w:r>
        <w:rPr>
          <w:sz w:val="24"/>
          <w:szCs w:val="24"/>
        </w:rPr>
        <w:t xml:space="preserve">органов </w:t>
      </w:r>
      <w:r w:rsidRPr="00931FE1">
        <w:rPr>
          <w:sz w:val="24"/>
          <w:szCs w:val="24"/>
        </w:rPr>
        <w:t>внутреннего финансового контроля</w:t>
      </w:r>
      <w:r>
        <w:rPr>
          <w:sz w:val="24"/>
          <w:szCs w:val="24"/>
        </w:rPr>
        <w:t xml:space="preserve"> и</w:t>
      </w:r>
      <w:r w:rsidRPr="00931FE1">
        <w:rPr>
          <w:sz w:val="24"/>
          <w:szCs w:val="24"/>
        </w:rPr>
        <w:t xml:space="preserve"> орган</w:t>
      </w:r>
      <w:r>
        <w:rPr>
          <w:sz w:val="24"/>
          <w:szCs w:val="24"/>
        </w:rPr>
        <w:t>ов</w:t>
      </w:r>
      <w:r w:rsidRPr="00931FE1">
        <w:rPr>
          <w:sz w:val="24"/>
          <w:szCs w:val="24"/>
        </w:rPr>
        <w:t xml:space="preserve"> внеш</w:t>
      </w:r>
      <w:r w:rsidR="004C3485">
        <w:rPr>
          <w:sz w:val="24"/>
          <w:szCs w:val="24"/>
        </w:rPr>
        <w:t>него государственного контроля.</w:t>
      </w:r>
    </w:p>
    <w:p w:rsidR="009C77BF" w:rsidRDefault="009C77BF" w:rsidP="00481730">
      <w:pPr>
        <w:tabs>
          <w:tab w:val="left" w:pos="1134"/>
          <w:tab w:val="left" w:pos="1276"/>
        </w:tabs>
        <w:spacing w:after="0" w:line="240" w:lineRule="auto"/>
        <w:ind w:firstLine="709"/>
        <w:jc w:val="both"/>
        <w:rPr>
          <w:rFonts w:ascii="Times New Roman" w:hAnsi="Times New Roman" w:cs="Times New Roman"/>
          <w:sz w:val="24"/>
          <w:szCs w:val="24"/>
        </w:rPr>
      </w:pPr>
    </w:p>
    <w:p w:rsidR="004C3485" w:rsidRDefault="004C3485" w:rsidP="009C77BF">
      <w:pPr>
        <w:spacing w:after="0" w:line="240" w:lineRule="auto"/>
        <w:ind w:firstLine="709"/>
        <w:jc w:val="both"/>
        <w:rPr>
          <w:rFonts w:ascii="Times New Roman" w:hAnsi="Times New Roman" w:cs="Times New Roman"/>
          <w:sz w:val="24"/>
          <w:szCs w:val="24"/>
        </w:rPr>
      </w:pPr>
    </w:p>
    <w:p w:rsidR="004C3485" w:rsidRDefault="004C3485" w:rsidP="009C77BF">
      <w:pPr>
        <w:spacing w:after="0" w:line="240" w:lineRule="auto"/>
        <w:ind w:firstLine="709"/>
        <w:jc w:val="both"/>
        <w:rPr>
          <w:rFonts w:ascii="Times New Roman" w:hAnsi="Times New Roman" w:cs="Times New Roman"/>
          <w:sz w:val="24"/>
          <w:szCs w:val="24"/>
        </w:rPr>
      </w:pPr>
    </w:p>
    <w:p w:rsidR="004C3485" w:rsidRDefault="004C3485" w:rsidP="009C77BF">
      <w:pPr>
        <w:spacing w:after="0" w:line="240" w:lineRule="auto"/>
        <w:ind w:firstLine="709"/>
        <w:jc w:val="both"/>
        <w:rPr>
          <w:rFonts w:ascii="Times New Roman" w:hAnsi="Times New Roman" w:cs="Times New Roman"/>
          <w:sz w:val="24"/>
          <w:szCs w:val="24"/>
        </w:rPr>
      </w:pPr>
    </w:p>
    <w:p w:rsidR="004C3485" w:rsidRDefault="004C3485" w:rsidP="009C77BF">
      <w:pPr>
        <w:spacing w:after="0" w:line="240" w:lineRule="auto"/>
        <w:ind w:firstLine="709"/>
        <w:jc w:val="both"/>
        <w:rPr>
          <w:rFonts w:ascii="Times New Roman" w:hAnsi="Times New Roman" w:cs="Times New Roman"/>
          <w:sz w:val="24"/>
          <w:szCs w:val="24"/>
        </w:rPr>
      </w:pPr>
    </w:p>
    <w:p w:rsidR="004C3485" w:rsidRPr="00931FE1" w:rsidRDefault="004C3485" w:rsidP="009C77BF">
      <w:pPr>
        <w:spacing w:after="0" w:line="240" w:lineRule="auto"/>
        <w:ind w:firstLine="709"/>
        <w:jc w:val="both"/>
        <w:rPr>
          <w:rFonts w:ascii="Times New Roman" w:hAnsi="Times New Roman" w:cs="Times New Roman"/>
          <w:sz w:val="24"/>
          <w:szCs w:val="24"/>
        </w:rPr>
      </w:pPr>
    </w:p>
    <w:p w:rsidR="009C77BF" w:rsidRDefault="009C77BF" w:rsidP="009C77BF">
      <w:pPr>
        <w:spacing w:after="0" w:line="240" w:lineRule="auto"/>
        <w:ind w:firstLine="709"/>
        <w:rPr>
          <w:rFonts w:ascii="Times New Roman" w:hAnsi="Times New Roman" w:cs="Times New Roman"/>
          <w:sz w:val="24"/>
          <w:szCs w:val="24"/>
        </w:rPr>
      </w:pPr>
    </w:p>
    <w:p w:rsidR="009C77BF" w:rsidRPr="00E744A9" w:rsidRDefault="009C77BF" w:rsidP="009C77BF">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71B1">
        <w:rPr>
          <w:rFonts w:ascii="Times New Roman" w:hAnsi="Times New Roman" w:cs="Times New Roman"/>
          <w:sz w:val="24"/>
          <w:szCs w:val="24"/>
        </w:rPr>
        <w:t xml:space="preserve">   </w:t>
      </w:r>
      <w:r>
        <w:rPr>
          <w:rFonts w:ascii="Times New Roman" w:hAnsi="Times New Roman" w:cs="Times New Roman"/>
          <w:sz w:val="24"/>
          <w:szCs w:val="24"/>
        </w:rPr>
        <w:tab/>
      </w:r>
      <w:r w:rsidR="009871B1">
        <w:rPr>
          <w:rFonts w:ascii="Times New Roman" w:hAnsi="Times New Roman" w:cs="Times New Roman"/>
          <w:sz w:val="24"/>
          <w:szCs w:val="24"/>
        </w:rPr>
        <w:t xml:space="preserve">  </w:t>
      </w:r>
      <w:r>
        <w:rPr>
          <w:rFonts w:ascii="Times New Roman" w:hAnsi="Times New Roman" w:cs="Times New Roman"/>
          <w:sz w:val="24"/>
          <w:szCs w:val="24"/>
        </w:rPr>
        <w:t>О.М.</w:t>
      </w:r>
      <w:r w:rsidR="009871B1">
        <w:rPr>
          <w:rFonts w:ascii="Times New Roman" w:hAnsi="Times New Roman" w:cs="Times New Roman"/>
          <w:sz w:val="24"/>
          <w:szCs w:val="24"/>
        </w:rPr>
        <w:t xml:space="preserve"> </w:t>
      </w:r>
      <w:bookmarkStart w:id="5" w:name="_GoBack"/>
      <w:bookmarkEnd w:id="5"/>
      <w:r>
        <w:rPr>
          <w:rFonts w:ascii="Times New Roman" w:hAnsi="Times New Roman" w:cs="Times New Roman"/>
          <w:sz w:val="24"/>
          <w:szCs w:val="24"/>
        </w:rPr>
        <w:t>Бродская</w:t>
      </w:r>
    </w:p>
    <w:sectPr w:rsidR="009C77BF" w:rsidRPr="00E744A9" w:rsidSect="00B5633D">
      <w:footerReference w:type="default" r:id="rId7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72" w:rsidRDefault="005B2272" w:rsidP="00B5633D">
      <w:pPr>
        <w:spacing w:after="0" w:line="240" w:lineRule="auto"/>
      </w:pPr>
      <w:r>
        <w:separator/>
      </w:r>
    </w:p>
  </w:endnote>
  <w:endnote w:type="continuationSeparator" w:id="0">
    <w:p w:rsidR="005B2272" w:rsidRDefault="005B2272" w:rsidP="00B5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53268"/>
      <w:docPartObj>
        <w:docPartGallery w:val="Page Numbers (Bottom of Page)"/>
        <w:docPartUnique/>
      </w:docPartObj>
    </w:sdtPr>
    <w:sdtEndPr/>
    <w:sdtContent>
      <w:p w:rsidR="005B2272" w:rsidRDefault="005B2272">
        <w:pPr>
          <w:pStyle w:val="a9"/>
          <w:jc w:val="center"/>
        </w:pPr>
        <w:r>
          <w:fldChar w:fldCharType="begin"/>
        </w:r>
        <w:r>
          <w:instrText>PAGE   \* MERGEFORMAT</w:instrText>
        </w:r>
        <w:r>
          <w:fldChar w:fldCharType="separate"/>
        </w:r>
        <w:r w:rsidR="009871B1">
          <w:rPr>
            <w:noProof/>
          </w:rPr>
          <w:t>130</w:t>
        </w:r>
        <w:r>
          <w:fldChar w:fldCharType="end"/>
        </w:r>
      </w:p>
    </w:sdtContent>
  </w:sdt>
  <w:p w:rsidR="005B2272" w:rsidRDefault="005B22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72" w:rsidRDefault="005B2272" w:rsidP="00B5633D">
      <w:pPr>
        <w:spacing w:after="0" w:line="240" w:lineRule="auto"/>
      </w:pPr>
      <w:r>
        <w:separator/>
      </w:r>
    </w:p>
  </w:footnote>
  <w:footnote w:type="continuationSeparator" w:id="0">
    <w:p w:rsidR="005B2272" w:rsidRDefault="005B2272" w:rsidP="00B5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AA3"/>
    <w:multiLevelType w:val="hybridMultilevel"/>
    <w:tmpl w:val="CC6A7B78"/>
    <w:lvl w:ilvl="0" w:tplc="29BC5FBC">
      <w:start w:val="1"/>
      <w:numFmt w:val="bullet"/>
      <w:lvlText w:val=""/>
      <w:lvlJc w:val="left"/>
      <w:pPr>
        <w:tabs>
          <w:tab w:val="num" w:pos="928"/>
        </w:tabs>
        <w:ind w:left="928" w:hanging="360"/>
      </w:pPr>
      <w:rPr>
        <w:rFonts w:ascii="Symbol" w:hAnsi="Symbol" w:hint="default"/>
        <w:color w:val="auto"/>
      </w:rPr>
    </w:lvl>
    <w:lvl w:ilvl="1" w:tplc="41BC16B8" w:tentative="1">
      <w:start w:val="1"/>
      <w:numFmt w:val="bullet"/>
      <w:lvlText w:val=""/>
      <w:lvlJc w:val="left"/>
      <w:pPr>
        <w:tabs>
          <w:tab w:val="num" w:pos="1440"/>
        </w:tabs>
        <w:ind w:left="1440" w:hanging="360"/>
      </w:pPr>
      <w:rPr>
        <w:rFonts w:ascii="Wingdings" w:hAnsi="Wingdings" w:hint="default"/>
      </w:rPr>
    </w:lvl>
    <w:lvl w:ilvl="2" w:tplc="D38C402A" w:tentative="1">
      <w:start w:val="1"/>
      <w:numFmt w:val="bullet"/>
      <w:lvlText w:val=""/>
      <w:lvlJc w:val="left"/>
      <w:pPr>
        <w:tabs>
          <w:tab w:val="num" w:pos="2160"/>
        </w:tabs>
        <w:ind w:left="2160" w:hanging="360"/>
      </w:pPr>
      <w:rPr>
        <w:rFonts w:ascii="Wingdings" w:hAnsi="Wingdings" w:hint="default"/>
      </w:rPr>
    </w:lvl>
    <w:lvl w:ilvl="3" w:tplc="E6D054E8" w:tentative="1">
      <w:start w:val="1"/>
      <w:numFmt w:val="bullet"/>
      <w:lvlText w:val=""/>
      <w:lvlJc w:val="left"/>
      <w:pPr>
        <w:tabs>
          <w:tab w:val="num" w:pos="2880"/>
        </w:tabs>
        <w:ind w:left="2880" w:hanging="360"/>
      </w:pPr>
      <w:rPr>
        <w:rFonts w:ascii="Wingdings" w:hAnsi="Wingdings" w:hint="default"/>
      </w:rPr>
    </w:lvl>
    <w:lvl w:ilvl="4" w:tplc="C47A248E" w:tentative="1">
      <w:start w:val="1"/>
      <w:numFmt w:val="bullet"/>
      <w:lvlText w:val=""/>
      <w:lvlJc w:val="left"/>
      <w:pPr>
        <w:tabs>
          <w:tab w:val="num" w:pos="3600"/>
        </w:tabs>
        <w:ind w:left="3600" w:hanging="360"/>
      </w:pPr>
      <w:rPr>
        <w:rFonts w:ascii="Wingdings" w:hAnsi="Wingdings" w:hint="default"/>
      </w:rPr>
    </w:lvl>
    <w:lvl w:ilvl="5" w:tplc="9E602FD4" w:tentative="1">
      <w:start w:val="1"/>
      <w:numFmt w:val="bullet"/>
      <w:lvlText w:val=""/>
      <w:lvlJc w:val="left"/>
      <w:pPr>
        <w:tabs>
          <w:tab w:val="num" w:pos="4320"/>
        </w:tabs>
        <w:ind w:left="4320" w:hanging="360"/>
      </w:pPr>
      <w:rPr>
        <w:rFonts w:ascii="Wingdings" w:hAnsi="Wingdings" w:hint="default"/>
      </w:rPr>
    </w:lvl>
    <w:lvl w:ilvl="6" w:tplc="5AA497E2" w:tentative="1">
      <w:start w:val="1"/>
      <w:numFmt w:val="bullet"/>
      <w:lvlText w:val=""/>
      <w:lvlJc w:val="left"/>
      <w:pPr>
        <w:tabs>
          <w:tab w:val="num" w:pos="5040"/>
        </w:tabs>
        <w:ind w:left="5040" w:hanging="360"/>
      </w:pPr>
      <w:rPr>
        <w:rFonts w:ascii="Wingdings" w:hAnsi="Wingdings" w:hint="default"/>
      </w:rPr>
    </w:lvl>
    <w:lvl w:ilvl="7" w:tplc="43EAD6CE" w:tentative="1">
      <w:start w:val="1"/>
      <w:numFmt w:val="bullet"/>
      <w:lvlText w:val=""/>
      <w:lvlJc w:val="left"/>
      <w:pPr>
        <w:tabs>
          <w:tab w:val="num" w:pos="5760"/>
        </w:tabs>
        <w:ind w:left="5760" w:hanging="360"/>
      </w:pPr>
      <w:rPr>
        <w:rFonts w:ascii="Wingdings" w:hAnsi="Wingdings" w:hint="default"/>
      </w:rPr>
    </w:lvl>
    <w:lvl w:ilvl="8" w:tplc="3C0E3422" w:tentative="1">
      <w:start w:val="1"/>
      <w:numFmt w:val="bullet"/>
      <w:lvlText w:val=""/>
      <w:lvlJc w:val="left"/>
      <w:pPr>
        <w:tabs>
          <w:tab w:val="num" w:pos="6480"/>
        </w:tabs>
        <w:ind w:left="6480" w:hanging="360"/>
      </w:pPr>
      <w:rPr>
        <w:rFonts w:ascii="Wingdings" w:hAnsi="Wingdings" w:hint="default"/>
      </w:rPr>
    </w:lvl>
  </w:abstractNum>
  <w:abstractNum w:abstractNumId="1">
    <w:nsid w:val="08B11791"/>
    <w:multiLevelType w:val="hybridMultilevel"/>
    <w:tmpl w:val="A504FAA8"/>
    <w:lvl w:ilvl="0" w:tplc="8414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3C31B7"/>
    <w:multiLevelType w:val="hybridMultilevel"/>
    <w:tmpl w:val="D1183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075E5"/>
    <w:multiLevelType w:val="hybridMultilevel"/>
    <w:tmpl w:val="3A7032F2"/>
    <w:lvl w:ilvl="0" w:tplc="93EC27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E3A8D"/>
    <w:multiLevelType w:val="hybridMultilevel"/>
    <w:tmpl w:val="DEFE38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FA1AE9"/>
    <w:multiLevelType w:val="hybridMultilevel"/>
    <w:tmpl w:val="1A0EF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87DBE"/>
    <w:multiLevelType w:val="hybridMultilevel"/>
    <w:tmpl w:val="8862A1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1105E"/>
    <w:multiLevelType w:val="multilevel"/>
    <w:tmpl w:val="250450D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CEC21CC"/>
    <w:multiLevelType w:val="hybridMultilevel"/>
    <w:tmpl w:val="85BAD40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702AC8"/>
    <w:multiLevelType w:val="multilevel"/>
    <w:tmpl w:val="6B2AC702"/>
    <w:lvl w:ilvl="0">
      <w:start w:val="1"/>
      <w:numFmt w:val="decimal"/>
      <w:lvlText w:val="%1."/>
      <w:lvlJc w:val="left"/>
      <w:pPr>
        <w:ind w:left="720" w:hanging="360"/>
      </w:pPr>
      <w:rPr>
        <w:b/>
      </w:rPr>
    </w:lvl>
    <w:lvl w:ilvl="1">
      <w:start w:val="1"/>
      <w:numFmt w:val="decimal"/>
      <w:isLgl/>
      <w:lvlText w:val="%1.%2."/>
      <w:lvlJc w:val="left"/>
      <w:pPr>
        <w:ind w:left="1069" w:hanging="360"/>
      </w:pPr>
      <w:rPr>
        <w:rFonts w:eastAsia="Times New Roman" w:hint="default"/>
        <w:b/>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0">
    <w:nsid w:val="30E153DA"/>
    <w:multiLevelType w:val="hybridMultilevel"/>
    <w:tmpl w:val="39B093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91D0D"/>
    <w:multiLevelType w:val="hybridMultilevel"/>
    <w:tmpl w:val="680272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A62AAE"/>
    <w:multiLevelType w:val="hybridMultilevel"/>
    <w:tmpl w:val="0778E04E"/>
    <w:lvl w:ilvl="0" w:tplc="CBEC9D10">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ECE3279"/>
    <w:multiLevelType w:val="hybridMultilevel"/>
    <w:tmpl w:val="0ED425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0D625E"/>
    <w:multiLevelType w:val="hybridMultilevel"/>
    <w:tmpl w:val="11ECD19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22129D4"/>
    <w:multiLevelType w:val="hybridMultilevel"/>
    <w:tmpl w:val="BBC0606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A3E60E4"/>
    <w:multiLevelType w:val="hybridMultilevel"/>
    <w:tmpl w:val="39225702"/>
    <w:lvl w:ilvl="0" w:tplc="89286B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B0513A"/>
    <w:multiLevelType w:val="hybridMultilevel"/>
    <w:tmpl w:val="EABCED90"/>
    <w:lvl w:ilvl="0" w:tplc="9C388DD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DF6398"/>
    <w:multiLevelType w:val="hybridMultilevel"/>
    <w:tmpl w:val="14FC8B38"/>
    <w:lvl w:ilvl="0" w:tplc="8DC67AD4">
      <w:start w:val="1"/>
      <w:numFmt w:val="bullet"/>
      <w:lvlText w:val=""/>
      <w:lvlJc w:val="left"/>
      <w:pPr>
        <w:tabs>
          <w:tab w:val="num" w:pos="720"/>
        </w:tabs>
        <w:ind w:left="720" w:hanging="360"/>
      </w:pPr>
      <w:rPr>
        <w:rFonts w:ascii="Symbol" w:hAnsi="Symbol" w:hint="default"/>
      </w:rPr>
    </w:lvl>
    <w:lvl w:ilvl="1" w:tplc="320C3DDC" w:tentative="1">
      <w:start w:val="1"/>
      <w:numFmt w:val="bullet"/>
      <w:lvlText w:val=""/>
      <w:lvlJc w:val="left"/>
      <w:pPr>
        <w:tabs>
          <w:tab w:val="num" w:pos="1440"/>
        </w:tabs>
        <w:ind w:left="1440" w:hanging="360"/>
      </w:pPr>
      <w:rPr>
        <w:rFonts w:ascii="Wingdings" w:hAnsi="Wingdings" w:hint="default"/>
      </w:rPr>
    </w:lvl>
    <w:lvl w:ilvl="2" w:tplc="69EAD738" w:tentative="1">
      <w:start w:val="1"/>
      <w:numFmt w:val="bullet"/>
      <w:lvlText w:val=""/>
      <w:lvlJc w:val="left"/>
      <w:pPr>
        <w:tabs>
          <w:tab w:val="num" w:pos="2160"/>
        </w:tabs>
        <w:ind w:left="2160" w:hanging="360"/>
      </w:pPr>
      <w:rPr>
        <w:rFonts w:ascii="Wingdings" w:hAnsi="Wingdings" w:hint="default"/>
      </w:rPr>
    </w:lvl>
    <w:lvl w:ilvl="3" w:tplc="1EAC109C" w:tentative="1">
      <w:start w:val="1"/>
      <w:numFmt w:val="bullet"/>
      <w:lvlText w:val=""/>
      <w:lvlJc w:val="left"/>
      <w:pPr>
        <w:tabs>
          <w:tab w:val="num" w:pos="2880"/>
        </w:tabs>
        <w:ind w:left="2880" w:hanging="360"/>
      </w:pPr>
      <w:rPr>
        <w:rFonts w:ascii="Wingdings" w:hAnsi="Wingdings" w:hint="default"/>
      </w:rPr>
    </w:lvl>
    <w:lvl w:ilvl="4" w:tplc="8EC82E32" w:tentative="1">
      <w:start w:val="1"/>
      <w:numFmt w:val="bullet"/>
      <w:lvlText w:val=""/>
      <w:lvlJc w:val="left"/>
      <w:pPr>
        <w:tabs>
          <w:tab w:val="num" w:pos="3600"/>
        </w:tabs>
        <w:ind w:left="3600" w:hanging="360"/>
      </w:pPr>
      <w:rPr>
        <w:rFonts w:ascii="Wingdings" w:hAnsi="Wingdings" w:hint="default"/>
      </w:rPr>
    </w:lvl>
    <w:lvl w:ilvl="5" w:tplc="93FEF1C0" w:tentative="1">
      <w:start w:val="1"/>
      <w:numFmt w:val="bullet"/>
      <w:lvlText w:val=""/>
      <w:lvlJc w:val="left"/>
      <w:pPr>
        <w:tabs>
          <w:tab w:val="num" w:pos="4320"/>
        </w:tabs>
        <w:ind w:left="4320" w:hanging="360"/>
      </w:pPr>
      <w:rPr>
        <w:rFonts w:ascii="Wingdings" w:hAnsi="Wingdings" w:hint="default"/>
      </w:rPr>
    </w:lvl>
    <w:lvl w:ilvl="6" w:tplc="F4EA4C9A" w:tentative="1">
      <w:start w:val="1"/>
      <w:numFmt w:val="bullet"/>
      <w:lvlText w:val=""/>
      <w:lvlJc w:val="left"/>
      <w:pPr>
        <w:tabs>
          <w:tab w:val="num" w:pos="5040"/>
        </w:tabs>
        <w:ind w:left="5040" w:hanging="360"/>
      </w:pPr>
      <w:rPr>
        <w:rFonts w:ascii="Wingdings" w:hAnsi="Wingdings" w:hint="default"/>
      </w:rPr>
    </w:lvl>
    <w:lvl w:ilvl="7" w:tplc="38B4C57C" w:tentative="1">
      <w:start w:val="1"/>
      <w:numFmt w:val="bullet"/>
      <w:lvlText w:val=""/>
      <w:lvlJc w:val="left"/>
      <w:pPr>
        <w:tabs>
          <w:tab w:val="num" w:pos="5760"/>
        </w:tabs>
        <w:ind w:left="5760" w:hanging="360"/>
      </w:pPr>
      <w:rPr>
        <w:rFonts w:ascii="Wingdings" w:hAnsi="Wingdings" w:hint="default"/>
      </w:rPr>
    </w:lvl>
    <w:lvl w:ilvl="8" w:tplc="CA720C2A" w:tentative="1">
      <w:start w:val="1"/>
      <w:numFmt w:val="bullet"/>
      <w:lvlText w:val=""/>
      <w:lvlJc w:val="left"/>
      <w:pPr>
        <w:tabs>
          <w:tab w:val="num" w:pos="6480"/>
        </w:tabs>
        <w:ind w:left="6480" w:hanging="360"/>
      </w:pPr>
      <w:rPr>
        <w:rFonts w:ascii="Wingdings" w:hAnsi="Wingdings" w:hint="default"/>
      </w:rPr>
    </w:lvl>
  </w:abstractNum>
  <w:abstractNum w:abstractNumId="19">
    <w:nsid w:val="50A20A95"/>
    <w:multiLevelType w:val="hybridMultilevel"/>
    <w:tmpl w:val="0076250A"/>
    <w:lvl w:ilvl="0" w:tplc="04190009">
      <w:start w:val="1"/>
      <w:numFmt w:val="bullet"/>
      <w:lvlText w:val=""/>
      <w:lvlJc w:val="left"/>
      <w:pPr>
        <w:ind w:left="720" w:hanging="360"/>
      </w:pPr>
      <w:rPr>
        <w:rFonts w:ascii="Wingdings" w:hAnsi="Wingdings" w:hint="default"/>
        <w:color w:val="FFFFFF" w:themeColor="background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877C21"/>
    <w:multiLevelType w:val="hybridMultilevel"/>
    <w:tmpl w:val="8CB21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DF4281"/>
    <w:multiLevelType w:val="multilevel"/>
    <w:tmpl w:val="D180A1E2"/>
    <w:styleLink w:val="1"/>
    <w:lvl w:ilvl="0">
      <w:start w:val="6"/>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93B595D"/>
    <w:multiLevelType w:val="hybridMultilevel"/>
    <w:tmpl w:val="8C7603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3">
    <w:nsid w:val="6A0E5E37"/>
    <w:multiLevelType w:val="hybridMultilevel"/>
    <w:tmpl w:val="6C743766"/>
    <w:lvl w:ilvl="0" w:tplc="9C388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1F3040"/>
    <w:multiLevelType w:val="hybridMultilevel"/>
    <w:tmpl w:val="87AA06B6"/>
    <w:lvl w:ilvl="0" w:tplc="8DC67A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CB5C20"/>
    <w:multiLevelType w:val="hybridMultilevel"/>
    <w:tmpl w:val="DCC2A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F3136"/>
    <w:multiLevelType w:val="hybridMultilevel"/>
    <w:tmpl w:val="5FA2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13"/>
  </w:num>
  <w:num w:numId="5">
    <w:abstractNumId w:val="26"/>
  </w:num>
  <w:num w:numId="6">
    <w:abstractNumId w:val="19"/>
  </w:num>
  <w:num w:numId="7">
    <w:abstractNumId w:val="3"/>
  </w:num>
  <w:num w:numId="8">
    <w:abstractNumId w:val="15"/>
  </w:num>
  <w:num w:numId="9">
    <w:abstractNumId w:val="5"/>
  </w:num>
  <w:num w:numId="10">
    <w:abstractNumId w:val="1"/>
  </w:num>
  <w:num w:numId="11">
    <w:abstractNumId w:val="22"/>
  </w:num>
  <w:num w:numId="12">
    <w:abstractNumId w:val="0"/>
  </w:num>
  <w:num w:numId="13">
    <w:abstractNumId w:val="4"/>
  </w:num>
  <w:num w:numId="14">
    <w:abstractNumId w:val="21"/>
  </w:num>
  <w:num w:numId="15">
    <w:abstractNumId w:val="2"/>
  </w:num>
  <w:num w:numId="16">
    <w:abstractNumId w:val="12"/>
  </w:num>
  <w:num w:numId="17">
    <w:abstractNumId w:val="18"/>
  </w:num>
  <w:num w:numId="18">
    <w:abstractNumId w:val="24"/>
  </w:num>
  <w:num w:numId="19">
    <w:abstractNumId w:val="16"/>
  </w:num>
  <w:num w:numId="20">
    <w:abstractNumId w:val="10"/>
  </w:num>
  <w:num w:numId="21">
    <w:abstractNumId w:val="6"/>
  </w:num>
  <w:num w:numId="22">
    <w:abstractNumId w:val="8"/>
  </w:num>
  <w:num w:numId="23">
    <w:abstractNumId w:val="20"/>
  </w:num>
  <w:num w:numId="24">
    <w:abstractNumId w:val="25"/>
  </w:num>
  <w:num w:numId="25">
    <w:abstractNumId w:val="7"/>
  </w:num>
  <w:num w:numId="26">
    <w:abstractNumId w:val="9"/>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7E"/>
    <w:rsid w:val="00031D50"/>
    <w:rsid w:val="0003278B"/>
    <w:rsid w:val="0004346C"/>
    <w:rsid w:val="00043D19"/>
    <w:rsid w:val="00051B16"/>
    <w:rsid w:val="00070E26"/>
    <w:rsid w:val="0007128F"/>
    <w:rsid w:val="000B66CB"/>
    <w:rsid w:val="000E7AF3"/>
    <w:rsid w:val="000F3D18"/>
    <w:rsid w:val="00105642"/>
    <w:rsid w:val="00124114"/>
    <w:rsid w:val="0016219B"/>
    <w:rsid w:val="00195D98"/>
    <w:rsid w:val="001A4229"/>
    <w:rsid w:val="001D06F3"/>
    <w:rsid w:val="00211ABD"/>
    <w:rsid w:val="00273AB9"/>
    <w:rsid w:val="002D7157"/>
    <w:rsid w:val="00324560"/>
    <w:rsid w:val="003E76DE"/>
    <w:rsid w:val="00481730"/>
    <w:rsid w:val="00491CF7"/>
    <w:rsid w:val="00496D9C"/>
    <w:rsid w:val="004A1DA7"/>
    <w:rsid w:val="004C3485"/>
    <w:rsid w:val="004D1C64"/>
    <w:rsid w:val="00503EB3"/>
    <w:rsid w:val="00533502"/>
    <w:rsid w:val="005655E3"/>
    <w:rsid w:val="005A1DBE"/>
    <w:rsid w:val="005A6E37"/>
    <w:rsid w:val="005B2272"/>
    <w:rsid w:val="005D1C56"/>
    <w:rsid w:val="006515A3"/>
    <w:rsid w:val="006611D7"/>
    <w:rsid w:val="006E487E"/>
    <w:rsid w:val="006F7B32"/>
    <w:rsid w:val="00711086"/>
    <w:rsid w:val="00731260"/>
    <w:rsid w:val="00776B35"/>
    <w:rsid w:val="00777994"/>
    <w:rsid w:val="00783FBA"/>
    <w:rsid w:val="00853C43"/>
    <w:rsid w:val="008649C0"/>
    <w:rsid w:val="008772B0"/>
    <w:rsid w:val="008840BD"/>
    <w:rsid w:val="008C30C5"/>
    <w:rsid w:val="008D61EB"/>
    <w:rsid w:val="008D63A5"/>
    <w:rsid w:val="009070B2"/>
    <w:rsid w:val="009871B1"/>
    <w:rsid w:val="00990D65"/>
    <w:rsid w:val="009C45F8"/>
    <w:rsid w:val="009C77BF"/>
    <w:rsid w:val="009F6A70"/>
    <w:rsid w:val="00A30716"/>
    <w:rsid w:val="00A30E82"/>
    <w:rsid w:val="00A3766A"/>
    <w:rsid w:val="00A8101B"/>
    <w:rsid w:val="00AA6522"/>
    <w:rsid w:val="00AF6222"/>
    <w:rsid w:val="00B2499D"/>
    <w:rsid w:val="00B269A3"/>
    <w:rsid w:val="00B36094"/>
    <w:rsid w:val="00B3726F"/>
    <w:rsid w:val="00B5633D"/>
    <w:rsid w:val="00B83C8C"/>
    <w:rsid w:val="00B8655E"/>
    <w:rsid w:val="00BB2FB8"/>
    <w:rsid w:val="00BE701A"/>
    <w:rsid w:val="00C13998"/>
    <w:rsid w:val="00C14550"/>
    <w:rsid w:val="00C5187E"/>
    <w:rsid w:val="00C5456B"/>
    <w:rsid w:val="00C760E6"/>
    <w:rsid w:val="00CC7DCD"/>
    <w:rsid w:val="00D20855"/>
    <w:rsid w:val="00D24816"/>
    <w:rsid w:val="00D640C7"/>
    <w:rsid w:val="00D84ECA"/>
    <w:rsid w:val="00DC0BAB"/>
    <w:rsid w:val="00DE4D4A"/>
    <w:rsid w:val="00E1589F"/>
    <w:rsid w:val="00E40927"/>
    <w:rsid w:val="00E5269A"/>
    <w:rsid w:val="00E85DF5"/>
    <w:rsid w:val="00EE48D6"/>
    <w:rsid w:val="00F05084"/>
    <w:rsid w:val="00F05A8F"/>
    <w:rsid w:val="00F07C41"/>
    <w:rsid w:val="00F27828"/>
    <w:rsid w:val="00F54827"/>
    <w:rsid w:val="00F71627"/>
    <w:rsid w:val="00FE286F"/>
    <w:rsid w:val="00FF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6C"/>
  </w:style>
  <w:style w:type="paragraph" w:styleId="10">
    <w:name w:val="heading 1"/>
    <w:basedOn w:val="a"/>
    <w:next w:val="a"/>
    <w:link w:val="11"/>
    <w:qFormat/>
    <w:rsid w:val="00B5633D"/>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B5633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633D"/>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B563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B5633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5633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633D"/>
    <w:rPr>
      <w:rFonts w:ascii="Arial" w:eastAsia="Times New Roman" w:hAnsi="Arial" w:cs="Arial"/>
      <w:b/>
      <w:bCs/>
      <w:i/>
      <w:iCs/>
      <w:sz w:val="28"/>
      <w:szCs w:val="28"/>
      <w:lang w:eastAsia="ru-RU"/>
    </w:rPr>
  </w:style>
  <w:style w:type="character" w:customStyle="1" w:styleId="30">
    <w:name w:val="Заголовок 3 Знак"/>
    <w:basedOn w:val="a0"/>
    <w:link w:val="3"/>
    <w:rsid w:val="00B5633D"/>
    <w:rPr>
      <w:rFonts w:ascii="Arial" w:eastAsia="Arial Unicode MS" w:hAnsi="Arial" w:cs="Arial"/>
      <w:b/>
      <w:bCs/>
      <w:sz w:val="26"/>
      <w:szCs w:val="26"/>
      <w:lang w:eastAsia="ru-RU"/>
    </w:rPr>
  </w:style>
  <w:style w:type="character" w:customStyle="1" w:styleId="50">
    <w:name w:val="Заголовок 5 Знак"/>
    <w:basedOn w:val="a0"/>
    <w:link w:val="5"/>
    <w:rsid w:val="00B5633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5633D"/>
    <w:rPr>
      <w:rFonts w:ascii="Times New Roman" w:eastAsia="Times New Roman" w:hAnsi="Times New Roman" w:cs="Times New Roman"/>
      <w:sz w:val="24"/>
      <w:szCs w:val="24"/>
      <w:lang w:eastAsia="ru-RU"/>
    </w:rPr>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B5633D"/>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B5633D"/>
    <w:rPr>
      <w:sz w:val="20"/>
      <w:szCs w:val="20"/>
    </w:rPr>
  </w:style>
  <w:style w:type="character" w:styleId="a5">
    <w:name w:val="footnote reference"/>
    <w:basedOn w:val="a0"/>
    <w:semiHidden/>
    <w:rsid w:val="00B5633D"/>
    <w:rPr>
      <w:vertAlign w:val="superscript"/>
    </w:rPr>
  </w:style>
  <w:style w:type="table" w:styleId="a6">
    <w:name w:val="Table Grid"/>
    <w:basedOn w:val="a1"/>
    <w:uiPriority w:val="59"/>
    <w:rsid w:val="00B56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B56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B5633D"/>
    <w:rPr>
      <w:rFonts w:ascii="Tahoma" w:hAnsi="Tahoma" w:cs="Tahoma"/>
      <w:sz w:val="16"/>
      <w:szCs w:val="16"/>
    </w:rPr>
  </w:style>
  <w:style w:type="numbering" w:customStyle="1" w:styleId="12">
    <w:name w:val="Нет списка1"/>
    <w:next w:val="a2"/>
    <w:uiPriority w:val="99"/>
    <w:semiHidden/>
    <w:unhideWhenUsed/>
    <w:rsid w:val="00B5633D"/>
  </w:style>
  <w:style w:type="paragraph" w:styleId="a9">
    <w:name w:val="footer"/>
    <w:basedOn w:val="a"/>
    <w:link w:val="aa"/>
    <w:uiPriority w:val="99"/>
    <w:rsid w:val="00B563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B5633D"/>
    <w:rPr>
      <w:rFonts w:ascii="Times New Roman" w:eastAsia="Times New Roman" w:hAnsi="Times New Roman" w:cs="Times New Roman"/>
      <w:sz w:val="20"/>
      <w:szCs w:val="20"/>
      <w:lang w:eastAsia="ru-RU"/>
    </w:rPr>
  </w:style>
  <w:style w:type="character" w:styleId="ab">
    <w:name w:val="page number"/>
    <w:basedOn w:val="a0"/>
    <w:rsid w:val="00B5633D"/>
  </w:style>
  <w:style w:type="character" w:styleId="ac">
    <w:name w:val="Hyperlink"/>
    <w:basedOn w:val="a0"/>
    <w:rsid w:val="00B5633D"/>
    <w:rPr>
      <w:color w:val="0000FF"/>
      <w:sz w:val="20"/>
      <w:szCs w:val="20"/>
      <w:u w:val="single"/>
    </w:rPr>
  </w:style>
  <w:style w:type="paragraph" w:styleId="ad">
    <w:name w:val="Body Text"/>
    <w:aliases w:val="Основной текст1,Основной текст Знак Знак,bt"/>
    <w:basedOn w:val="a"/>
    <w:link w:val="13"/>
    <w:rsid w:val="00B5633D"/>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B5633D"/>
  </w:style>
  <w:style w:type="character" w:customStyle="1" w:styleId="13">
    <w:name w:val="Основной текст Знак1"/>
    <w:aliases w:val="Основной текст1 Знак,Основной текст Знак Знак Знак,bt Знак"/>
    <w:basedOn w:val="a0"/>
    <w:link w:val="ad"/>
    <w:rsid w:val="00B5633D"/>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B5633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B5633D"/>
    <w:rPr>
      <w:rFonts w:ascii="Times New Roman" w:eastAsia="Times New Roman" w:hAnsi="Times New Roman" w:cs="Times New Roman"/>
      <w:sz w:val="20"/>
      <w:szCs w:val="20"/>
      <w:lang w:eastAsia="ru-RU"/>
    </w:rPr>
  </w:style>
  <w:style w:type="paragraph" w:styleId="af1">
    <w:name w:val="header"/>
    <w:basedOn w:val="a"/>
    <w:link w:val="af2"/>
    <w:uiPriority w:val="99"/>
    <w:rsid w:val="00B563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B5633D"/>
    <w:rPr>
      <w:rFonts w:ascii="Times New Roman" w:eastAsia="Times New Roman" w:hAnsi="Times New Roman" w:cs="Times New Roman"/>
      <w:sz w:val="20"/>
      <w:szCs w:val="20"/>
      <w:lang w:eastAsia="ru-RU"/>
    </w:rPr>
  </w:style>
  <w:style w:type="paragraph" w:styleId="31">
    <w:name w:val="Body Text 3"/>
    <w:basedOn w:val="a"/>
    <w:link w:val="32"/>
    <w:rsid w:val="00B5633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5633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B5633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B5633D"/>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B5633D"/>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B5633D"/>
    <w:rPr>
      <w:rFonts w:ascii="Times New Roman" w:eastAsia="Times New Roman" w:hAnsi="Times New Roman" w:cs="Times New Roman"/>
      <w:sz w:val="16"/>
      <w:szCs w:val="24"/>
      <w:lang w:eastAsia="ru-RU"/>
    </w:rPr>
  </w:style>
  <w:style w:type="paragraph" w:styleId="af6">
    <w:name w:val="caption"/>
    <w:basedOn w:val="a"/>
    <w:next w:val="a"/>
    <w:qFormat/>
    <w:rsid w:val="00B5633D"/>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B5633D"/>
    <w:pPr>
      <w:spacing w:after="0" w:line="240" w:lineRule="auto"/>
      <w:ind w:firstLine="709"/>
      <w:jc w:val="both"/>
    </w:pPr>
    <w:rPr>
      <w:rFonts w:ascii="Times New Roman" w:eastAsia="Times New Roman" w:hAnsi="Times New Roman" w:cs="Times New Roman"/>
      <w:sz w:val="24"/>
      <w:szCs w:val="20"/>
    </w:rPr>
  </w:style>
  <w:style w:type="paragraph" w:customStyle="1" w:styleId="14">
    <w:name w:val="Знак1"/>
    <w:basedOn w:val="a"/>
    <w:link w:val="15"/>
    <w:rsid w:val="00B5633D"/>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B5633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B5633D"/>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563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B5633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B5633D"/>
    <w:rPr>
      <w:rFonts w:ascii="Times New Roman" w:eastAsia="Times New Roman" w:hAnsi="Times New Roman" w:cs="Times New Roman"/>
      <w:sz w:val="20"/>
      <w:szCs w:val="20"/>
      <w:lang w:eastAsia="ru-RU"/>
    </w:rPr>
  </w:style>
  <w:style w:type="paragraph" w:styleId="33">
    <w:name w:val="Body Text Indent 3"/>
    <w:basedOn w:val="a"/>
    <w:link w:val="34"/>
    <w:rsid w:val="00B5633D"/>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B5633D"/>
    <w:rPr>
      <w:rFonts w:ascii="Times New Roman" w:eastAsia="Times New Roman" w:hAnsi="Times New Roman" w:cs="Times New Roman"/>
      <w:b/>
      <w:i/>
      <w:iCs/>
      <w:sz w:val="24"/>
      <w:szCs w:val="24"/>
      <w:lang w:eastAsia="ru-RU"/>
    </w:rPr>
  </w:style>
  <w:style w:type="paragraph" w:customStyle="1" w:styleId="ConsNormal">
    <w:name w:val="ConsNormal"/>
    <w:rsid w:val="00B5633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563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B5633D"/>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B56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B5633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B5633D"/>
    <w:rPr>
      <w:rFonts w:ascii="Times New Roman" w:eastAsia="Times New Roman" w:hAnsi="Times New Roman" w:cs="Times New Roman"/>
      <w:sz w:val="24"/>
      <w:szCs w:val="24"/>
      <w:lang w:eastAsia="ru-RU"/>
    </w:rPr>
  </w:style>
  <w:style w:type="paragraph" w:customStyle="1" w:styleId="ConsPlusTitle">
    <w:name w:val="ConsPlusTitle"/>
    <w:rsid w:val="00B5633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B5633D"/>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B5633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B5633D"/>
    <w:pPr>
      <w:spacing w:after="0" w:line="240" w:lineRule="auto"/>
    </w:pPr>
    <w:rPr>
      <w:rFonts w:ascii="Verdana" w:eastAsia="Times New Roman" w:hAnsi="Verdana" w:cs="Verdana"/>
      <w:sz w:val="20"/>
      <w:szCs w:val="20"/>
      <w:lang w:val="en-US"/>
    </w:rPr>
  </w:style>
  <w:style w:type="paragraph" w:customStyle="1" w:styleId="ConsCell">
    <w:name w:val="ConsCell"/>
    <w:rsid w:val="00B56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B5633D"/>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B56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B5633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Знак1 Знак Знак Знак"/>
    <w:basedOn w:val="a"/>
    <w:rsid w:val="00B5633D"/>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B5633D"/>
    <w:pPr>
      <w:spacing w:after="0" w:line="240" w:lineRule="auto"/>
    </w:pPr>
    <w:rPr>
      <w:rFonts w:ascii="Verdana" w:eastAsia="Times New Roman" w:hAnsi="Verdana" w:cs="Verdana"/>
      <w:sz w:val="20"/>
      <w:szCs w:val="20"/>
      <w:lang w:val="en-US"/>
    </w:rPr>
  </w:style>
  <w:style w:type="paragraph" w:customStyle="1" w:styleId="4">
    <w:name w:val="Знак4"/>
    <w:basedOn w:val="a"/>
    <w:rsid w:val="00B5633D"/>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B5633D"/>
    <w:rPr>
      <w:b/>
      <w:sz w:val="24"/>
      <w:lang w:val="ru-RU" w:eastAsia="ru-RU" w:bidi="ar-SA"/>
    </w:rPr>
  </w:style>
  <w:style w:type="paragraph" w:customStyle="1" w:styleId="align-justify">
    <w:name w:val="align-justify"/>
    <w:basedOn w:val="a"/>
    <w:rsid w:val="00B5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B56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B5633D"/>
    <w:rPr>
      <w:sz w:val="24"/>
      <w:szCs w:val="24"/>
      <w:lang w:val="ru-RU" w:eastAsia="ru-RU" w:bidi="ar-SA"/>
    </w:rPr>
  </w:style>
  <w:style w:type="paragraph" w:styleId="afa">
    <w:name w:val="List Paragraph"/>
    <w:basedOn w:val="a"/>
    <w:uiPriority w:val="34"/>
    <w:qFormat/>
    <w:rsid w:val="00B5633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B5633D"/>
  </w:style>
  <w:style w:type="paragraph" w:customStyle="1" w:styleId="xl74">
    <w:name w:val="xl74"/>
    <w:basedOn w:val="a"/>
    <w:rsid w:val="00B5633D"/>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B563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B5633D"/>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B5633D"/>
    <w:rPr>
      <w:vertAlign w:val="superscript"/>
    </w:rPr>
  </w:style>
  <w:style w:type="paragraph" w:customStyle="1" w:styleId="afe">
    <w:name w:val="Основной текст с отступом.Надин стиль"/>
    <w:basedOn w:val="a"/>
    <w:rsid w:val="00B5633D"/>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B5633D"/>
  </w:style>
  <w:style w:type="character" w:customStyle="1" w:styleId="15">
    <w:name w:val="Знак1 Знак"/>
    <w:basedOn w:val="a0"/>
    <w:link w:val="14"/>
    <w:locked/>
    <w:rsid w:val="00B5633D"/>
    <w:rPr>
      <w:rFonts w:ascii="Verdana" w:eastAsia="Times New Roman" w:hAnsi="Verdana" w:cs="Verdana"/>
      <w:sz w:val="20"/>
      <w:szCs w:val="20"/>
      <w:lang w:val="en-US"/>
    </w:rPr>
  </w:style>
  <w:style w:type="paragraph" w:styleId="aff">
    <w:name w:val="Normal (Web)"/>
    <w:basedOn w:val="a"/>
    <w:uiPriority w:val="99"/>
    <w:unhideWhenUsed/>
    <w:rsid w:val="00B5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B5633D"/>
  </w:style>
  <w:style w:type="table" w:customStyle="1" w:styleId="18">
    <w:name w:val="Сетка таблицы1"/>
    <w:basedOn w:val="a1"/>
    <w:next w:val="a6"/>
    <w:rsid w:val="00B56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B5633D"/>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B5633D"/>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B5633D"/>
  </w:style>
  <w:style w:type="numbering" w:customStyle="1" w:styleId="120">
    <w:name w:val="Нет списка12"/>
    <w:next w:val="a2"/>
    <w:semiHidden/>
    <w:unhideWhenUsed/>
    <w:rsid w:val="00B5633D"/>
  </w:style>
  <w:style w:type="table" w:customStyle="1" w:styleId="36">
    <w:name w:val="Сетка таблицы3"/>
    <w:basedOn w:val="a1"/>
    <w:next w:val="a6"/>
    <w:uiPriority w:val="59"/>
    <w:rsid w:val="009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qFormat/>
    <w:rsid w:val="009C45F8"/>
    <w:pPr>
      <w:spacing w:after="0" w:line="240" w:lineRule="auto"/>
    </w:pPr>
    <w:rPr>
      <w:rFonts w:ascii="Times New Roman" w:eastAsia="Times New Roman" w:hAnsi="Times New Roman" w:cs="Times New Roman"/>
      <w:sz w:val="24"/>
      <w:szCs w:val="24"/>
      <w:lang w:eastAsia="ru-RU"/>
    </w:rPr>
  </w:style>
  <w:style w:type="paragraph" w:customStyle="1" w:styleId="aff3">
    <w:name w:val="Базовый"/>
    <w:rsid w:val="009C45F8"/>
    <w:pPr>
      <w:tabs>
        <w:tab w:val="left" w:pos="709"/>
      </w:tabs>
      <w:suppressAutoHyphens/>
      <w:spacing w:line="276" w:lineRule="atLeast"/>
    </w:pPr>
    <w:rPr>
      <w:rFonts w:ascii="Calibri" w:eastAsia="Lucida Sans Unicode" w:hAnsi="Calibri"/>
    </w:rPr>
  </w:style>
  <w:style w:type="table" w:customStyle="1" w:styleId="2a">
    <w:name w:val="Сетка таблицы2"/>
    <w:basedOn w:val="a1"/>
    <w:next w:val="a6"/>
    <w:uiPriority w:val="59"/>
    <w:rsid w:val="009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6"/>
    <w:uiPriority w:val="59"/>
    <w:rsid w:val="009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9C45F8"/>
    <w:rPr>
      <w:i/>
      <w:iCs/>
    </w:rPr>
  </w:style>
  <w:style w:type="character" w:customStyle="1" w:styleId="aff2">
    <w:name w:val="Без интервала Знак"/>
    <w:basedOn w:val="a0"/>
    <w:link w:val="aff1"/>
    <w:rsid w:val="009C45F8"/>
    <w:rPr>
      <w:rFonts w:ascii="Times New Roman" w:eastAsia="Times New Roman" w:hAnsi="Times New Roman" w:cs="Times New Roman"/>
      <w:sz w:val="24"/>
      <w:szCs w:val="24"/>
      <w:lang w:eastAsia="ru-RU"/>
    </w:rPr>
  </w:style>
  <w:style w:type="numbering" w:customStyle="1" w:styleId="1">
    <w:name w:val="Стиль1"/>
    <w:uiPriority w:val="99"/>
    <w:rsid w:val="009C45F8"/>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46C"/>
  </w:style>
  <w:style w:type="paragraph" w:styleId="10">
    <w:name w:val="heading 1"/>
    <w:basedOn w:val="a"/>
    <w:next w:val="a"/>
    <w:link w:val="11"/>
    <w:qFormat/>
    <w:rsid w:val="00B5633D"/>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B5633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633D"/>
    <w:pPr>
      <w:keepNext/>
      <w:spacing w:before="240" w:after="60" w:line="240" w:lineRule="auto"/>
      <w:outlineLvl w:val="2"/>
    </w:pPr>
    <w:rPr>
      <w:rFonts w:ascii="Arial" w:eastAsia="Arial Unicode MS" w:hAnsi="Arial" w:cs="Arial"/>
      <w:b/>
      <w:bCs/>
      <w:sz w:val="26"/>
      <w:szCs w:val="26"/>
      <w:lang w:eastAsia="ru-RU"/>
    </w:rPr>
  </w:style>
  <w:style w:type="paragraph" w:styleId="5">
    <w:name w:val="heading 5"/>
    <w:basedOn w:val="a"/>
    <w:next w:val="a"/>
    <w:link w:val="50"/>
    <w:qFormat/>
    <w:rsid w:val="00B563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B5633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5633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633D"/>
    <w:rPr>
      <w:rFonts w:ascii="Arial" w:eastAsia="Times New Roman" w:hAnsi="Arial" w:cs="Arial"/>
      <w:b/>
      <w:bCs/>
      <w:i/>
      <w:iCs/>
      <w:sz w:val="28"/>
      <w:szCs w:val="28"/>
      <w:lang w:eastAsia="ru-RU"/>
    </w:rPr>
  </w:style>
  <w:style w:type="character" w:customStyle="1" w:styleId="30">
    <w:name w:val="Заголовок 3 Знак"/>
    <w:basedOn w:val="a0"/>
    <w:link w:val="3"/>
    <w:rsid w:val="00B5633D"/>
    <w:rPr>
      <w:rFonts w:ascii="Arial" w:eastAsia="Arial Unicode MS" w:hAnsi="Arial" w:cs="Arial"/>
      <w:b/>
      <w:bCs/>
      <w:sz w:val="26"/>
      <w:szCs w:val="26"/>
      <w:lang w:eastAsia="ru-RU"/>
    </w:rPr>
  </w:style>
  <w:style w:type="character" w:customStyle="1" w:styleId="50">
    <w:name w:val="Заголовок 5 Знак"/>
    <w:basedOn w:val="a0"/>
    <w:link w:val="5"/>
    <w:rsid w:val="00B5633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5633D"/>
    <w:rPr>
      <w:rFonts w:ascii="Times New Roman" w:eastAsia="Times New Roman" w:hAnsi="Times New Roman" w:cs="Times New Roman"/>
      <w:sz w:val="24"/>
      <w:szCs w:val="24"/>
      <w:lang w:eastAsia="ru-RU"/>
    </w:rPr>
  </w:style>
  <w:style w:type="paragraph" w:styleId="a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4"/>
    <w:unhideWhenUsed/>
    <w:rsid w:val="00B5633D"/>
    <w:pPr>
      <w:spacing w:after="0" w:line="240" w:lineRule="auto"/>
    </w:pPr>
    <w:rPr>
      <w:sz w:val="20"/>
      <w:szCs w:val="20"/>
    </w:rPr>
  </w:style>
  <w:style w:type="character" w:customStyle="1" w:styleId="a4">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0"/>
    <w:link w:val="a3"/>
    <w:rsid w:val="00B5633D"/>
    <w:rPr>
      <w:sz w:val="20"/>
      <w:szCs w:val="20"/>
    </w:rPr>
  </w:style>
  <w:style w:type="character" w:styleId="a5">
    <w:name w:val="footnote reference"/>
    <w:basedOn w:val="a0"/>
    <w:semiHidden/>
    <w:rsid w:val="00B5633D"/>
    <w:rPr>
      <w:vertAlign w:val="superscript"/>
    </w:rPr>
  </w:style>
  <w:style w:type="table" w:styleId="a6">
    <w:name w:val="Table Grid"/>
    <w:basedOn w:val="a1"/>
    <w:uiPriority w:val="59"/>
    <w:rsid w:val="00B56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B56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B5633D"/>
    <w:rPr>
      <w:rFonts w:ascii="Tahoma" w:hAnsi="Tahoma" w:cs="Tahoma"/>
      <w:sz w:val="16"/>
      <w:szCs w:val="16"/>
    </w:rPr>
  </w:style>
  <w:style w:type="numbering" w:customStyle="1" w:styleId="12">
    <w:name w:val="Нет списка1"/>
    <w:next w:val="a2"/>
    <w:uiPriority w:val="99"/>
    <w:semiHidden/>
    <w:unhideWhenUsed/>
    <w:rsid w:val="00B5633D"/>
  </w:style>
  <w:style w:type="paragraph" w:styleId="a9">
    <w:name w:val="footer"/>
    <w:basedOn w:val="a"/>
    <w:link w:val="aa"/>
    <w:uiPriority w:val="99"/>
    <w:rsid w:val="00B563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B5633D"/>
    <w:rPr>
      <w:rFonts w:ascii="Times New Roman" w:eastAsia="Times New Roman" w:hAnsi="Times New Roman" w:cs="Times New Roman"/>
      <w:sz w:val="20"/>
      <w:szCs w:val="20"/>
      <w:lang w:eastAsia="ru-RU"/>
    </w:rPr>
  </w:style>
  <w:style w:type="character" w:styleId="ab">
    <w:name w:val="page number"/>
    <w:basedOn w:val="a0"/>
    <w:rsid w:val="00B5633D"/>
  </w:style>
  <w:style w:type="character" w:styleId="ac">
    <w:name w:val="Hyperlink"/>
    <w:basedOn w:val="a0"/>
    <w:rsid w:val="00B5633D"/>
    <w:rPr>
      <w:color w:val="0000FF"/>
      <w:sz w:val="20"/>
      <w:szCs w:val="20"/>
      <w:u w:val="single"/>
    </w:rPr>
  </w:style>
  <w:style w:type="paragraph" w:styleId="ad">
    <w:name w:val="Body Text"/>
    <w:aliases w:val="Основной текст1,Основной текст Знак Знак,bt"/>
    <w:basedOn w:val="a"/>
    <w:link w:val="13"/>
    <w:rsid w:val="00B5633D"/>
    <w:pPr>
      <w:spacing w:after="0" w:line="240" w:lineRule="auto"/>
      <w:jc w:val="both"/>
    </w:pPr>
    <w:rPr>
      <w:rFonts w:ascii="Times New Roman" w:eastAsia="Times New Roman" w:hAnsi="Times New Roman" w:cs="Times New Roman"/>
      <w:b/>
      <w:sz w:val="24"/>
      <w:szCs w:val="20"/>
      <w:lang w:eastAsia="ru-RU"/>
    </w:rPr>
  </w:style>
  <w:style w:type="character" w:customStyle="1" w:styleId="ae">
    <w:name w:val="Основной текст Знак"/>
    <w:basedOn w:val="a0"/>
    <w:uiPriority w:val="99"/>
    <w:rsid w:val="00B5633D"/>
  </w:style>
  <w:style w:type="character" w:customStyle="1" w:styleId="13">
    <w:name w:val="Основной текст Знак1"/>
    <w:aliases w:val="Основной текст1 Знак,Основной текст Знак Знак Знак,bt Знак"/>
    <w:basedOn w:val="a0"/>
    <w:link w:val="ad"/>
    <w:rsid w:val="00B5633D"/>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B5633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B5633D"/>
    <w:rPr>
      <w:rFonts w:ascii="Times New Roman" w:eastAsia="Times New Roman" w:hAnsi="Times New Roman" w:cs="Times New Roman"/>
      <w:sz w:val="20"/>
      <w:szCs w:val="20"/>
      <w:lang w:eastAsia="ru-RU"/>
    </w:rPr>
  </w:style>
  <w:style w:type="paragraph" w:styleId="af1">
    <w:name w:val="header"/>
    <w:basedOn w:val="a"/>
    <w:link w:val="af2"/>
    <w:uiPriority w:val="99"/>
    <w:rsid w:val="00B5633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B5633D"/>
    <w:rPr>
      <w:rFonts w:ascii="Times New Roman" w:eastAsia="Times New Roman" w:hAnsi="Times New Roman" w:cs="Times New Roman"/>
      <w:sz w:val="20"/>
      <w:szCs w:val="20"/>
      <w:lang w:eastAsia="ru-RU"/>
    </w:rPr>
  </w:style>
  <w:style w:type="paragraph" w:styleId="31">
    <w:name w:val="Body Text 3"/>
    <w:basedOn w:val="a"/>
    <w:link w:val="32"/>
    <w:rsid w:val="00B5633D"/>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5633D"/>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B5633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3">
    <w:name w:val="Название таблиц"/>
    <w:basedOn w:val="a"/>
    <w:rsid w:val="00B5633D"/>
    <w:pPr>
      <w:spacing w:after="0" w:line="240" w:lineRule="auto"/>
      <w:jc w:val="center"/>
    </w:pPr>
    <w:rPr>
      <w:rFonts w:ascii="Times New Roman" w:eastAsia="Times New Roman" w:hAnsi="Times New Roman" w:cs="Times New Roman"/>
      <w:b/>
      <w:szCs w:val="24"/>
      <w:lang w:eastAsia="ru-RU"/>
    </w:rPr>
  </w:style>
  <w:style w:type="paragraph" w:customStyle="1" w:styleId="af4">
    <w:name w:val="обычный ежегодник"/>
    <w:basedOn w:val="a"/>
    <w:link w:val="af5"/>
    <w:rsid w:val="00B5633D"/>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5">
    <w:name w:val="обычный ежегодник Знак"/>
    <w:basedOn w:val="a0"/>
    <w:link w:val="af4"/>
    <w:rsid w:val="00B5633D"/>
    <w:rPr>
      <w:rFonts w:ascii="Times New Roman" w:eastAsia="Times New Roman" w:hAnsi="Times New Roman" w:cs="Times New Roman"/>
      <w:sz w:val="16"/>
      <w:szCs w:val="24"/>
      <w:lang w:eastAsia="ru-RU"/>
    </w:rPr>
  </w:style>
  <w:style w:type="paragraph" w:styleId="af6">
    <w:name w:val="caption"/>
    <w:basedOn w:val="a"/>
    <w:next w:val="a"/>
    <w:qFormat/>
    <w:rsid w:val="00B5633D"/>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ru-RU"/>
    </w:rPr>
  </w:style>
  <w:style w:type="paragraph" w:customStyle="1" w:styleId="22">
    <w:name w:val="2"/>
    <w:basedOn w:val="a"/>
    <w:next w:val="2"/>
    <w:autoRedefine/>
    <w:rsid w:val="00B5633D"/>
    <w:pPr>
      <w:spacing w:after="0" w:line="240" w:lineRule="auto"/>
      <w:ind w:firstLine="709"/>
      <w:jc w:val="both"/>
    </w:pPr>
    <w:rPr>
      <w:rFonts w:ascii="Times New Roman" w:eastAsia="Times New Roman" w:hAnsi="Times New Roman" w:cs="Times New Roman"/>
      <w:sz w:val="24"/>
      <w:szCs w:val="20"/>
    </w:rPr>
  </w:style>
  <w:style w:type="paragraph" w:customStyle="1" w:styleId="14">
    <w:name w:val="Знак1"/>
    <w:basedOn w:val="a"/>
    <w:link w:val="15"/>
    <w:rsid w:val="00B5633D"/>
    <w:pPr>
      <w:spacing w:after="0" w:line="240" w:lineRule="auto"/>
    </w:pPr>
    <w:rPr>
      <w:rFonts w:ascii="Verdana" w:eastAsia="Times New Roman" w:hAnsi="Verdana" w:cs="Verdana"/>
      <w:sz w:val="20"/>
      <w:szCs w:val="20"/>
      <w:lang w:val="en-US"/>
    </w:rPr>
  </w:style>
  <w:style w:type="paragraph" w:customStyle="1" w:styleId="220">
    <w:name w:val="Основной текст с отступом 22"/>
    <w:basedOn w:val="a"/>
    <w:rsid w:val="00B5633D"/>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7">
    <w:name w:val="Документ"/>
    <w:basedOn w:val="a"/>
    <w:rsid w:val="00B5633D"/>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B563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B5633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B5633D"/>
    <w:rPr>
      <w:rFonts w:ascii="Times New Roman" w:eastAsia="Times New Roman" w:hAnsi="Times New Roman" w:cs="Times New Roman"/>
      <w:sz w:val="20"/>
      <w:szCs w:val="20"/>
      <w:lang w:eastAsia="ru-RU"/>
    </w:rPr>
  </w:style>
  <w:style w:type="paragraph" w:styleId="33">
    <w:name w:val="Body Text Indent 3"/>
    <w:basedOn w:val="a"/>
    <w:link w:val="34"/>
    <w:rsid w:val="00B5633D"/>
    <w:pPr>
      <w:spacing w:after="0" w:line="252" w:lineRule="auto"/>
      <w:ind w:firstLine="708"/>
      <w:jc w:val="both"/>
    </w:pPr>
    <w:rPr>
      <w:rFonts w:ascii="Times New Roman" w:eastAsia="Times New Roman" w:hAnsi="Times New Roman" w:cs="Times New Roman"/>
      <w:b/>
      <w:i/>
      <w:iCs/>
      <w:sz w:val="24"/>
      <w:szCs w:val="24"/>
      <w:lang w:eastAsia="ru-RU"/>
    </w:rPr>
  </w:style>
  <w:style w:type="character" w:customStyle="1" w:styleId="34">
    <w:name w:val="Основной текст с отступом 3 Знак"/>
    <w:basedOn w:val="a0"/>
    <w:link w:val="33"/>
    <w:rsid w:val="00B5633D"/>
    <w:rPr>
      <w:rFonts w:ascii="Times New Roman" w:eastAsia="Times New Roman" w:hAnsi="Times New Roman" w:cs="Times New Roman"/>
      <w:b/>
      <w:i/>
      <w:iCs/>
      <w:sz w:val="24"/>
      <w:szCs w:val="24"/>
      <w:lang w:eastAsia="ru-RU"/>
    </w:rPr>
  </w:style>
  <w:style w:type="paragraph" w:customStyle="1" w:styleId="ConsNormal">
    <w:name w:val="ConsNormal"/>
    <w:rsid w:val="00B5633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563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B5633D"/>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B56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B5633D"/>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B5633D"/>
    <w:rPr>
      <w:rFonts w:ascii="Times New Roman" w:eastAsia="Times New Roman" w:hAnsi="Times New Roman" w:cs="Times New Roman"/>
      <w:sz w:val="24"/>
      <w:szCs w:val="24"/>
      <w:lang w:eastAsia="ru-RU"/>
    </w:rPr>
  </w:style>
  <w:style w:type="paragraph" w:customStyle="1" w:styleId="ConsPlusTitle">
    <w:name w:val="ConsPlusTitle"/>
    <w:rsid w:val="00B5633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Основной текст.Основной текст Знак"/>
    <w:rsid w:val="00B5633D"/>
    <w:pPr>
      <w:spacing w:after="0" w:line="240" w:lineRule="auto"/>
      <w:jc w:val="both"/>
    </w:pPr>
    <w:rPr>
      <w:rFonts w:ascii="Times New Roman" w:eastAsia="Times New Roman" w:hAnsi="Times New Roman" w:cs="Times New Roman"/>
      <w:sz w:val="28"/>
      <w:szCs w:val="20"/>
      <w:lang w:eastAsia="ru-RU"/>
    </w:rPr>
  </w:style>
  <w:style w:type="paragraph" w:customStyle="1" w:styleId="af9">
    <w:name w:val="Знак"/>
    <w:basedOn w:val="a"/>
    <w:rsid w:val="00B5633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1"/>
    <w:basedOn w:val="a"/>
    <w:rsid w:val="00B5633D"/>
    <w:pPr>
      <w:spacing w:after="0" w:line="240" w:lineRule="auto"/>
    </w:pPr>
    <w:rPr>
      <w:rFonts w:ascii="Verdana" w:eastAsia="Times New Roman" w:hAnsi="Verdana" w:cs="Verdana"/>
      <w:sz w:val="20"/>
      <w:szCs w:val="20"/>
      <w:lang w:val="en-US"/>
    </w:rPr>
  </w:style>
  <w:style w:type="paragraph" w:customStyle="1" w:styleId="ConsCell">
    <w:name w:val="ConsCell"/>
    <w:rsid w:val="00B56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B5633D"/>
    <w:pPr>
      <w:spacing w:after="0" w:line="240" w:lineRule="auto"/>
      <w:ind w:left="-108"/>
    </w:pPr>
    <w:rPr>
      <w:rFonts w:ascii="Times New Roman" w:eastAsia="Times New Roman" w:hAnsi="Times New Roman" w:cs="Times New Roman"/>
      <w:sz w:val="24"/>
      <w:szCs w:val="20"/>
      <w:lang w:eastAsia="ru-RU"/>
    </w:rPr>
  </w:style>
  <w:style w:type="paragraph" w:customStyle="1" w:styleId="ConsPlusCell">
    <w:name w:val="ConsPlusCell"/>
    <w:uiPriority w:val="99"/>
    <w:rsid w:val="00B56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7">
    <w:name w:val="Знак2"/>
    <w:basedOn w:val="a"/>
    <w:rsid w:val="00B5633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Знак1 Знак Знак Знак"/>
    <w:basedOn w:val="a"/>
    <w:rsid w:val="00B5633D"/>
    <w:pPr>
      <w:spacing w:after="160" w:line="240" w:lineRule="exact"/>
    </w:pPr>
    <w:rPr>
      <w:rFonts w:ascii="Times New Roman" w:eastAsia="Times New Roman" w:hAnsi="Times New Roman" w:cs="Times New Roman"/>
      <w:sz w:val="20"/>
      <w:szCs w:val="20"/>
      <w:lang w:eastAsia="zh-CN"/>
    </w:rPr>
  </w:style>
  <w:style w:type="paragraph" w:customStyle="1" w:styleId="28">
    <w:name w:val="Знак2 Знак Знак Знак Знак Знак Знак Знак Знак Знак"/>
    <w:basedOn w:val="a"/>
    <w:rsid w:val="00B5633D"/>
    <w:pPr>
      <w:spacing w:after="0" w:line="240" w:lineRule="auto"/>
    </w:pPr>
    <w:rPr>
      <w:rFonts w:ascii="Verdana" w:eastAsia="Times New Roman" w:hAnsi="Verdana" w:cs="Verdana"/>
      <w:sz w:val="20"/>
      <w:szCs w:val="20"/>
      <w:lang w:val="en-US"/>
    </w:rPr>
  </w:style>
  <w:style w:type="paragraph" w:customStyle="1" w:styleId="4">
    <w:name w:val="Знак4"/>
    <w:basedOn w:val="a"/>
    <w:rsid w:val="00B5633D"/>
    <w:pPr>
      <w:widowControl w:val="0"/>
      <w:adjustRightInd w:val="0"/>
      <w:spacing w:after="160" w:line="240" w:lineRule="exact"/>
      <w:jc w:val="right"/>
    </w:pPr>
    <w:rPr>
      <w:rFonts w:ascii="Times New Roman" w:eastAsia="Times New Roman" w:hAnsi="Times New Roman" w:cs="Arial"/>
      <w:sz w:val="20"/>
      <w:szCs w:val="20"/>
      <w:lang w:val="en-GB"/>
    </w:rPr>
  </w:style>
  <w:style w:type="character" w:customStyle="1" w:styleId="51">
    <w:name w:val="Знак Знак5"/>
    <w:basedOn w:val="a0"/>
    <w:locked/>
    <w:rsid w:val="00B5633D"/>
    <w:rPr>
      <w:b/>
      <w:sz w:val="24"/>
      <w:lang w:val="ru-RU" w:eastAsia="ru-RU" w:bidi="ar-SA"/>
    </w:rPr>
  </w:style>
  <w:style w:type="paragraph" w:customStyle="1" w:styleId="align-justify">
    <w:name w:val="align-justify"/>
    <w:basedOn w:val="a"/>
    <w:rsid w:val="00B5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ad">
    <w:name w:val="comments_bad"/>
    <w:basedOn w:val="a"/>
    <w:rsid w:val="00B56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Знак Знак8"/>
    <w:basedOn w:val="a0"/>
    <w:rsid w:val="00B5633D"/>
    <w:rPr>
      <w:sz w:val="24"/>
      <w:szCs w:val="24"/>
      <w:lang w:val="ru-RU" w:eastAsia="ru-RU" w:bidi="ar-SA"/>
    </w:rPr>
  </w:style>
  <w:style w:type="paragraph" w:styleId="afa">
    <w:name w:val="List Paragraph"/>
    <w:basedOn w:val="a"/>
    <w:uiPriority w:val="34"/>
    <w:qFormat/>
    <w:rsid w:val="00B5633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7">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ocked/>
    <w:rsid w:val="00B5633D"/>
  </w:style>
  <w:style w:type="paragraph" w:customStyle="1" w:styleId="xl74">
    <w:name w:val="xl74"/>
    <w:basedOn w:val="a"/>
    <w:rsid w:val="00B5633D"/>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paragraph" w:styleId="afb">
    <w:name w:val="endnote text"/>
    <w:basedOn w:val="a"/>
    <w:link w:val="afc"/>
    <w:uiPriority w:val="99"/>
    <w:semiHidden/>
    <w:unhideWhenUsed/>
    <w:rsid w:val="00B563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B5633D"/>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B5633D"/>
    <w:rPr>
      <w:vertAlign w:val="superscript"/>
    </w:rPr>
  </w:style>
  <w:style w:type="paragraph" w:customStyle="1" w:styleId="afe">
    <w:name w:val="Основной текст с отступом.Надин стиль"/>
    <w:basedOn w:val="a"/>
    <w:rsid w:val="00B5633D"/>
    <w:pPr>
      <w:spacing w:after="0" w:line="240" w:lineRule="auto"/>
      <w:ind w:right="-766" w:firstLine="720"/>
      <w:jc w:val="both"/>
    </w:pPr>
    <w:rPr>
      <w:rFonts w:ascii="Times New Roman" w:eastAsia="Times New Roman" w:hAnsi="Times New Roman" w:cs="Times New Roman"/>
      <w:sz w:val="28"/>
      <w:szCs w:val="20"/>
      <w:lang w:eastAsia="ru-RU"/>
    </w:rPr>
  </w:style>
  <w:style w:type="numbering" w:customStyle="1" w:styleId="111">
    <w:name w:val="Нет списка11"/>
    <w:next w:val="a2"/>
    <w:semiHidden/>
    <w:unhideWhenUsed/>
    <w:rsid w:val="00B5633D"/>
  </w:style>
  <w:style w:type="character" w:customStyle="1" w:styleId="15">
    <w:name w:val="Знак1 Знак"/>
    <w:basedOn w:val="a0"/>
    <w:link w:val="14"/>
    <w:locked/>
    <w:rsid w:val="00B5633D"/>
    <w:rPr>
      <w:rFonts w:ascii="Verdana" w:eastAsia="Times New Roman" w:hAnsi="Verdana" w:cs="Verdana"/>
      <w:sz w:val="20"/>
      <w:szCs w:val="20"/>
      <w:lang w:val="en-US"/>
    </w:rPr>
  </w:style>
  <w:style w:type="paragraph" w:styleId="aff">
    <w:name w:val="Normal (Web)"/>
    <w:basedOn w:val="a"/>
    <w:uiPriority w:val="99"/>
    <w:unhideWhenUsed/>
    <w:rsid w:val="00B5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9">
    <w:name w:val="Нет списка2"/>
    <w:next w:val="a2"/>
    <w:semiHidden/>
    <w:unhideWhenUsed/>
    <w:rsid w:val="00B5633D"/>
  </w:style>
  <w:style w:type="table" w:customStyle="1" w:styleId="18">
    <w:name w:val="Сетка таблицы1"/>
    <w:basedOn w:val="a1"/>
    <w:next w:val="a6"/>
    <w:rsid w:val="00B56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B5633D"/>
    <w:pPr>
      <w:spacing w:after="160" w:line="240" w:lineRule="exact"/>
    </w:pPr>
    <w:rPr>
      <w:rFonts w:ascii="Times New Roman" w:eastAsia="Times New Roman" w:hAnsi="Times New Roman" w:cs="Times New Roman"/>
      <w:sz w:val="20"/>
      <w:szCs w:val="20"/>
      <w:lang w:eastAsia="zh-CN"/>
    </w:rPr>
  </w:style>
  <w:style w:type="paragraph" w:customStyle="1" w:styleId="112">
    <w:name w:val="Знак1 Знак Знак1 Знак Знак Знак Знак"/>
    <w:basedOn w:val="a"/>
    <w:rsid w:val="00B5633D"/>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2"/>
    <w:uiPriority w:val="99"/>
    <w:semiHidden/>
    <w:unhideWhenUsed/>
    <w:rsid w:val="00B5633D"/>
  </w:style>
  <w:style w:type="numbering" w:customStyle="1" w:styleId="120">
    <w:name w:val="Нет списка12"/>
    <w:next w:val="a2"/>
    <w:semiHidden/>
    <w:unhideWhenUsed/>
    <w:rsid w:val="00B5633D"/>
  </w:style>
  <w:style w:type="table" w:customStyle="1" w:styleId="36">
    <w:name w:val="Сетка таблицы3"/>
    <w:basedOn w:val="a1"/>
    <w:next w:val="a6"/>
    <w:uiPriority w:val="59"/>
    <w:rsid w:val="009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qFormat/>
    <w:rsid w:val="009C45F8"/>
    <w:pPr>
      <w:spacing w:after="0" w:line="240" w:lineRule="auto"/>
    </w:pPr>
    <w:rPr>
      <w:rFonts w:ascii="Times New Roman" w:eastAsia="Times New Roman" w:hAnsi="Times New Roman" w:cs="Times New Roman"/>
      <w:sz w:val="24"/>
      <w:szCs w:val="24"/>
      <w:lang w:eastAsia="ru-RU"/>
    </w:rPr>
  </w:style>
  <w:style w:type="paragraph" w:customStyle="1" w:styleId="aff3">
    <w:name w:val="Базовый"/>
    <w:rsid w:val="009C45F8"/>
    <w:pPr>
      <w:tabs>
        <w:tab w:val="left" w:pos="709"/>
      </w:tabs>
      <w:suppressAutoHyphens/>
      <w:spacing w:line="276" w:lineRule="atLeast"/>
    </w:pPr>
    <w:rPr>
      <w:rFonts w:ascii="Calibri" w:eastAsia="Lucida Sans Unicode" w:hAnsi="Calibri"/>
    </w:rPr>
  </w:style>
  <w:style w:type="table" w:customStyle="1" w:styleId="2a">
    <w:name w:val="Сетка таблицы2"/>
    <w:basedOn w:val="a1"/>
    <w:next w:val="a6"/>
    <w:uiPriority w:val="59"/>
    <w:rsid w:val="009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6"/>
    <w:uiPriority w:val="59"/>
    <w:rsid w:val="009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9C45F8"/>
    <w:rPr>
      <w:i/>
      <w:iCs/>
    </w:rPr>
  </w:style>
  <w:style w:type="character" w:customStyle="1" w:styleId="aff2">
    <w:name w:val="Без интервала Знак"/>
    <w:basedOn w:val="a0"/>
    <w:link w:val="aff1"/>
    <w:rsid w:val="009C45F8"/>
    <w:rPr>
      <w:rFonts w:ascii="Times New Roman" w:eastAsia="Times New Roman" w:hAnsi="Times New Roman" w:cs="Times New Roman"/>
      <w:sz w:val="24"/>
      <w:szCs w:val="24"/>
      <w:lang w:eastAsia="ru-RU"/>
    </w:rPr>
  </w:style>
  <w:style w:type="numbering" w:customStyle="1" w:styleId="1">
    <w:name w:val="Стиль1"/>
    <w:uiPriority w:val="99"/>
    <w:rsid w:val="009C45F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7.xml"/><Relationship Id="rId21" Type="http://schemas.openxmlformats.org/officeDocument/2006/relationships/chart" Target="charts/chart11.xml"/><Relationship Id="rId34" Type="http://schemas.openxmlformats.org/officeDocument/2006/relationships/hyperlink" Target="consultantplus://offline/ref=A9CA22ADD4729A609A771DDAF8C4D26903B3BDD6E89BA3711039E01F3FC3F15F808D546A5C1C085A06D0FCZBU1A" TargetMode="External"/><Relationship Id="rId42" Type="http://schemas.openxmlformats.org/officeDocument/2006/relationships/chart" Target="charts/chart30.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hyperlink" Target="consultantplus://offline/ref=C0E1B72D86FC69A85ABFE7381309345A4A9CC5BAD08E7BF728610E0AE690996D3D8739889E03847453942E143FD" TargetMode="External"/><Relationship Id="rId63" Type="http://schemas.openxmlformats.org/officeDocument/2006/relationships/hyperlink" Target="consultantplus://offline/ref=C0E1B72D86FC69A85ABFE7381309345A4A9CC5BAD08E7BF728610E0AE690996D3D8739889E03847453942E143FD" TargetMode="External"/><Relationship Id="rId68" Type="http://schemas.openxmlformats.org/officeDocument/2006/relationships/hyperlink" Target="consultantplus://offline/ref=C0E1B72D86FC69A85ABFE7381309345A4A9CC5BAD08E7BF728610E0AE690996D3D8739889E03847453942E143FD" TargetMode="External"/><Relationship Id="rId7" Type="http://schemas.openxmlformats.org/officeDocument/2006/relationships/footnotes" Target="footnotes.xml"/><Relationship Id="rId71" Type="http://schemas.openxmlformats.org/officeDocument/2006/relationships/hyperlink" Target="consultantplus://offline/ref=C0E1B72D86FC69A85ABFE7381309345A4A9CC5BAD08E7BF728610E0AE690996D3D8739889E03847453942E143FD"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yperlink" Target="consultantplus://offline/ref=73B8C08DA4D3FB22C714AB60CDF15F76373E70F47EC1CBEDFF493B774A7E857B3BF8F843CADD84jBGAA" TargetMode="External"/><Relationship Id="rId53" Type="http://schemas.openxmlformats.org/officeDocument/2006/relationships/hyperlink" Target="consultantplus://offline/ref=C0E1B72D86FC69A85ABFE7381309345A4A9CC5BAD08E7BF728610E0AE690996D3D8739889E03847453942E143FD" TargetMode="External"/><Relationship Id="rId58" Type="http://schemas.openxmlformats.org/officeDocument/2006/relationships/hyperlink" Target="consultantplus://offline/ref=35DEFDCC7CDD238DB3CC4E195480415C0BE55DCCDDB30AF41B800800BFFCB759C574FA8850223C7E7F6F48N2q2H" TargetMode="External"/><Relationship Id="rId66" Type="http://schemas.openxmlformats.org/officeDocument/2006/relationships/hyperlink" Target="consultantplus://offline/ref=C0E1B72D86FC69A85ABFE7381309345A4A9CC5BAD08E7BF728610E0AE690996D3D8739889E03847453942E143FD"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4.xml"/><Relationship Id="rId49" Type="http://schemas.openxmlformats.org/officeDocument/2006/relationships/chart" Target="charts/chart35.xml"/><Relationship Id="rId57" Type="http://schemas.openxmlformats.org/officeDocument/2006/relationships/hyperlink" Target="consultantplus://offline/ref=C0E1B72D86FC69A85ABFE7381309345A4A9CC5BAD08E7BF728610E0AE690996D3D8739889E03847453942E143FD" TargetMode="External"/><Relationship Id="rId61" Type="http://schemas.openxmlformats.org/officeDocument/2006/relationships/hyperlink" Target="consultantplus://offline/ref=C0E1B72D86FC69A85ABFE7381309345A4A9CC5BAD08E7BF728610E0AE690996D3D8739889E03847453942E143FD" TargetMode="External"/><Relationship Id="rId10" Type="http://schemas.openxmlformats.org/officeDocument/2006/relationships/hyperlink" Target="mailto:kspamur@tsl.ru"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2.xml"/><Relationship Id="rId52" Type="http://schemas.openxmlformats.org/officeDocument/2006/relationships/hyperlink" Target="consultantplus://offline/ref=FF074F3BB811761604707600EA2FDE850DD45DEC33FC4993B46E2374E830951194C53ACA4BBE98ABO6FFG" TargetMode="External"/><Relationship Id="rId60" Type="http://schemas.openxmlformats.org/officeDocument/2006/relationships/hyperlink" Target="consultantplus://offline/ref=C0E1B72D86FC69A85ABFE7381309345A4A9CC5BAD08E7BF728610E0AE690996D3D8739889E03847453942E143FD" TargetMode="External"/><Relationship Id="rId65" Type="http://schemas.openxmlformats.org/officeDocument/2006/relationships/hyperlink" Target="consultantplus://offline/ref=C0E1B72D86FC69A85ABFE7381309345A4A9CC5BAD08E7BF728610E0AE690996D3D8739889E03847453942E143FD"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consultantplus://offline/ref=F7083A6F88D21E6D9CA4E181BA9406257180FFBC465A451EABDC6476744B27223E6FFE4239D0F8985972DA1EW7A" TargetMode="External"/><Relationship Id="rId43" Type="http://schemas.openxmlformats.org/officeDocument/2006/relationships/chart" Target="charts/chart31.xml"/><Relationship Id="rId48" Type="http://schemas.openxmlformats.org/officeDocument/2006/relationships/chart" Target="charts/chart34.xml"/><Relationship Id="rId56" Type="http://schemas.openxmlformats.org/officeDocument/2006/relationships/hyperlink" Target="consultantplus://offline/ref=C0E1B72D86FC69A85ABFE7381309345A4A9CC5BAD08E7BF728610E0AE690996D3D8739889E03847453942E143FD" TargetMode="External"/><Relationship Id="rId64" Type="http://schemas.openxmlformats.org/officeDocument/2006/relationships/hyperlink" Target="consultantplus://offline/ref=C0E1B72D86FC69A85ABFE7381309345A4A9CC5BAD08E7BF728610E0AE690996D3D8739889E03847453942E143FD" TargetMode="External"/><Relationship Id="rId69" Type="http://schemas.openxmlformats.org/officeDocument/2006/relationships/hyperlink" Target="consultantplus://offline/ref=C0E1B72D86FC69A85ABFE7381309345A4A9CC5BAD08E7BF728610E0AE690996D3D8739889E03847453942E143FD" TargetMode="External"/><Relationship Id="rId8" Type="http://schemas.openxmlformats.org/officeDocument/2006/relationships/endnotes" Target="endnotes.xml"/><Relationship Id="rId51" Type="http://schemas.openxmlformats.org/officeDocument/2006/relationships/chart" Target="charts/chart37.xml"/><Relationship Id="rId72" Type="http://schemas.openxmlformats.org/officeDocument/2006/relationships/hyperlink" Target="consultantplus://offline/ref=C0E1B72D86FC69A85ABFE7381309345A4A9CC5BAD08E7BF728610E0AE690996D3D8739889E03847453942E143FD"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6.xml"/><Relationship Id="rId46" Type="http://schemas.openxmlformats.org/officeDocument/2006/relationships/hyperlink" Target="consultantplus://offline/ref=73B8C08DA4D3FB22C714AB60CDF15F76363375F475C1CBEDFF493B774A7E857B3BF8F843CBD783jBGBA" TargetMode="External"/><Relationship Id="rId59" Type="http://schemas.openxmlformats.org/officeDocument/2006/relationships/hyperlink" Target="consultantplus://offline/ref=C0E1B72D86FC69A85ABFE7381309345A4A9CC5BAD08E7BF728610E0AE690996D3D8739889E03847453942E143FD" TargetMode="External"/><Relationship Id="rId67" Type="http://schemas.openxmlformats.org/officeDocument/2006/relationships/hyperlink" Target="consultantplus://offline/ref=C0E1B72D86FC69A85ABFE7381309345A4A9CC5BAD08E7BF728610E0AE690996D3D8739889E03847453942E143FD" TargetMode="External"/><Relationship Id="rId20" Type="http://schemas.openxmlformats.org/officeDocument/2006/relationships/chart" Target="charts/chart10.xml"/><Relationship Id="rId41" Type="http://schemas.openxmlformats.org/officeDocument/2006/relationships/chart" Target="charts/chart29.xml"/><Relationship Id="rId54" Type="http://schemas.openxmlformats.org/officeDocument/2006/relationships/hyperlink" Target="consultantplus://offline/ref=C0E1B72D86FC69A85ABFE7381309345A4A9CC5BAD08E7BF728610E0AE690996D3D8739889E03847453942E143FD" TargetMode="External"/><Relationship Id="rId62" Type="http://schemas.openxmlformats.org/officeDocument/2006/relationships/hyperlink" Target="consultantplus://offline/ref=C0E1B72D86FC69A85ABFE7381309345A4A9CC5BAD08E7BF728610E0AE690996D3D8739889E03847453942E143FD" TargetMode="External"/><Relationship Id="rId70" Type="http://schemas.openxmlformats.org/officeDocument/2006/relationships/hyperlink" Target="consultantplus://offline/ref=C0E1B72D86FC69A85ABFE7381309345A4A9CC5BAD08E7BF728610E0AE690996D3D8739889E03847453942E143F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2;&#1072;&#1083;&#1077;&#1085;&#1090;&#1080;&#1085;&#1072;\Documents\&#1073;&#1102;&#1076;&#1078;&#1077;&#1090;%202017\&#1048;&#1057;&#1055;&#1054;&#1051;&#1053;&#1045;&#1053;&#1048;&#1045;%202018%20&#1073;&#1102;&#1076;&#1078;&#1077;&#1090;&#1072;%20&#1079;&#1072;%20%20%202017\&#1044;&#1080;&#1072;&#1075;&#1088;&#1072;&#1084;&#1084;&#1099;%20&#1076;&#1083;&#1103;%20&#1080;&#1089;&#1087;&#1086;&#1083;&#1085;&#1077;&#1085;&#1080;&#1103;%20&#1073;&#1102;&#1076;&#1078;&#1077;&#1090;&#1072;%202017.xlsx" TargetMode="Externa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42;&#1072;&#1083;&#1077;&#1085;&#1090;&#1080;&#1085;&#1072;\Documents\&#1073;&#1102;&#1076;&#1078;&#1077;&#1090;%202017\&#1048;&#1057;&#1055;&#1054;&#1051;&#1053;&#1045;&#1053;&#1048;&#1045;%202018%20&#1073;&#1102;&#1076;&#1078;&#1077;&#1090;&#1072;%20&#1079;&#1072;%20%20%202017\&#1044;&#1080;&#1072;&#1075;&#1088;&#1072;&#1084;&#1084;&#1099;%20&#1076;&#1083;&#1103;%20&#1080;&#1089;&#1087;&#1086;&#1083;&#1085;&#1077;&#1085;&#1080;&#1103;%20&#1073;&#1102;&#1076;&#1078;&#1077;&#1090;&#1072;%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42;&#1072;&#1083;&#1077;&#1085;&#1090;&#1080;&#1085;&#1072;\Documents\&#1073;&#1102;&#1076;&#1078;&#1077;&#1090;%202017\&#1048;&#1057;&#1055;&#1054;&#1051;&#1053;&#1045;&#1053;&#1048;&#1045;%202018%20&#1073;&#1102;&#1076;&#1078;&#1077;&#1090;&#1072;%20&#1079;&#1072;%20%20%202017\&#1044;&#1080;&#1072;&#1075;&#1088;&#1072;&#1084;&#1084;&#1099;%20&#1076;&#1083;&#1103;%20&#1080;&#1089;&#1087;&#1086;&#1083;&#1085;&#1077;&#1085;&#1080;&#1103;%20&#1073;&#1102;&#1076;&#1078;&#1077;&#1090;&#1072;%202017.xlsx"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13.xml"/></Relationships>
</file>

<file path=word/charts/_rels/chart2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themeOverride" Target="../theme/themeOverride14.xml"/><Relationship Id="rId4"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1.xml.rels><?xml version="1.0" encoding="UTF-8" standalone="yes"?>
<Relationships xmlns="http://schemas.openxmlformats.org/package/2006/relationships"><Relationship Id="rId1" Type="http://schemas.openxmlformats.org/officeDocument/2006/relationships/oleObject" Target="file:///C:\Users\&#1042;&#1072;&#1083;&#1077;&#1085;&#1090;&#1080;&#1085;&#1072;\Documents\&#1073;&#1102;&#1076;&#1078;&#1077;&#1090;%202017\&#1048;&#1057;&#1055;&#1054;&#1051;&#1053;&#1045;&#1053;&#1048;&#1045;%202018%20&#1073;&#1102;&#1076;&#1078;&#1077;&#1090;&#1072;%20&#1079;&#1072;%20%20%202017\&#1044;&#1080;&#1072;&#1075;&#1088;&#1072;&#1084;&#1084;&#1099;%20&#1076;&#1083;&#1103;%20&#1080;&#1089;&#1087;&#1086;&#1083;&#1085;&#1077;&#1085;&#1080;&#1103;%20&#1073;&#1102;&#1076;&#1078;&#1077;&#1090;&#1072;%202017.xlsx" TargetMode="External"/></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15.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16.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7.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18.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19.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187183919083292E-2"/>
          <c:y val="8.8888888888888892E-2"/>
          <c:w val="0.9225774598297164"/>
          <c:h val="0.5673685571912207"/>
        </c:manualLayout>
      </c:layout>
      <c:barChart>
        <c:barDir val="col"/>
        <c:grouping val="clustered"/>
        <c:varyColors val="0"/>
        <c:ser>
          <c:idx val="0"/>
          <c:order val="0"/>
          <c:tx>
            <c:strRef>
              <c:f>Лист1!$B$1</c:f>
              <c:strCache>
                <c:ptCount val="1"/>
                <c:pt idx="0">
                  <c:v>Численность незанятых граждан, обратившихся в службу занятости</c:v>
                </c:pt>
              </c:strCache>
            </c:strRef>
          </c:tx>
          <c:spPr>
            <a:gradFill>
              <a:gsLst>
                <a:gs pos="417">
                  <a:srgbClr val="6D97FF"/>
                </a:gs>
                <a:gs pos="67000">
                  <a:srgbClr val="0047FF"/>
                </a:gs>
                <a:gs pos="100000">
                  <a:srgbClr val="000082"/>
                </a:gs>
              </a:gsLst>
              <a:lin ang="5400000" scaled="0"/>
            </a:gradFill>
            <a:effectLst>
              <a:innerShdw blurRad="152400" dist="50800" dir="2700000">
                <a:prstClr val="black">
                  <a:alpha val="95000"/>
                </a:prstClr>
              </a:innerShdw>
            </a:effectLst>
          </c:spPr>
          <c:invertIfNegative val="0"/>
          <c:cat>
            <c:strRef>
              <c:f>Лист1!$A$2:$A$25</c:f>
              <c:strCache>
                <c:ptCount val="24"/>
                <c:pt idx="0">
                  <c:v>Янв</c:v>
                </c:pt>
                <c:pt idx="1">
                  <c:v>Фев</c:v>
                </c:pt>
                <c:pt idx="2">
                  <c:v>Мар</c:v>
                </c:pt>
                <c:pt idx="3">
                  <c:v>Апр</c:v>
                </c:pt>
                <c:pt idx="4">
                  <c:v>Май</c:v>
                </c:pt>
                <c:pt idx="5">
                  <c:v>Июнь</c:v>
                </c:pt>
                <c:pt idx="6">
                  <c:v>Июль</c:v>
                </c:pt>
                <c:pt idx="7">
                  <c:v>Авг</c:v>
                </c:pt>
                <c:pt idx="8">
                  <c:v>Сент</c:v>
                </c:pt>
                <c:pt idx="9">
                  <c:v>Окт</c:v>
                </c:pt>
                <c:pt idx="10">
                  <c:v>Нояб</c:v>
                </c:pt>
                <c:pt idx="11">
                  <c:v>Дек</c:v>
                </c:pt>
                <c:pt idx="12">
                  <c:v>Янв</c:v>
                </c:pt>
                <c:pt idx="13">
                  <c:v>Фев</c:v>
                </c:pt>
                <c:pt idx="14">
                  <c:v>Мар</c:v>
                </c:pt>
                <c:pt idx="15">
                  <c:v>Апр</c:v>
                </c:pt>
                <c:pt idx="16">
                  <c:v>Май</c:v>
                </c:pt>
                <c:pt idx="17">
                  <c:v>Июнь</c:v>
                </c:pt>
                <c:pt idx="18">
                  <c:v>Июль</c:v>
                </c:pt>
                <c:pt idx="19">
                  <c:v>Авг</c:v>
                </c:pt>
                <c:pt idx="20">
                  <c:v>Сент</c:v>
                </c:pt>
                <c:pt idx="21">
                  <c:v>Окт</c:v>
                </c:pt>
                <c:pt idx="22">
                  <c:v>Нояб</c:v>
                </c:pt>
                <c:pt idx="23">
                  <c:v>Дек</c:v>
                </c:pt>
              </c:strCache>
            </c:strRef>
          </c:cat>
          <c:val>
            <c:numRef>
              <c:f>Лист1!$B$2:$B$25</c:f>
              <c:numCache>
                <c:formatCode>0.00</c:formatCode>
                <c:ptCount val="24"/>
                <c:pt idx="0">
                  <c:v>14.851000000000001</c:v>
                </c:pt>
                <c:pt idx="1">
                  <c:v>14.492000000000001</c:v>
                </c:pt>
                <c:pt idx="2">
                  <c:v>14.363</c:v>
                </c:pt>
                <c:pt idx="3">
                  <c:v>13.968999999999999</c:v>
                </c:pt>
                <c:pt idx="4">
                  <c:v>14.194000000000001</c:v>
                </c:pt>
                <c:pt idx="5">
                  <c:v>13.755000000000001</c:v>
                </c:pt>
                <c:pt idx="6">
                  <c:v>13.313000000000001</c:v>
                </c:pt>
                <c:pt idx="7">
                  <c:v>12.305999999999999</c:v>
                </c:pt>
                <c:pt idx="8">
                  <c:v>11.5</c:v>
                </c:pt>
                <c:pt idx="9">
                  <c:v>11.286</c:v>
                </c:pt>
                <c:pt idx="10">
                  <c:v>12.503</c:v>
                </c:pt>
                <c:pt idx="11">
                  <c:v>12.523</c:v>
                </c:pt>
                <c:pt idx="12">
                  <c:v>13.093999999999999</c:v>
                </c:pt>
                <c:pt idx="13">
                  <c:v>13.445</c:v>
                </c:pt>
                <c:pt idx="14">
                  <c:v>13.542999999999999</c:v>
                </c:pt>
                <c:pt idx="15">
                  <c:v>12.95</c:v>
                </c:pt>
                <c:pt idx="16">
                  <c:v>13.25</c:v>
                </c:pt>
                <c:pt idx="17">
                  <c:v>12.763</c:v>
                </c:pt>
                <c:pt idx="18">
                  <c:v>12.414999999999999</c:v>
                </c:pt>
                <c:pt idx="19">
                  <c:v>11.961</c:v>
                </c:pt>
                <c:pt idx="20">
                  <c:v>11.308999999999999</c:v>
                </c:pt>
                <c:pt idx="21">
                  <c:v>10.875</c:v>
                </c:pt>
                <c:pt idx="22">
                  <c:v>11.625</c:v>
                </c:pt>
                <c:pt idx="23">
                  <c:v>11.318</c:v>
                </c:pt>
              </c:numCache>
            </c:numRef>
          </c:val>
        </c:ser>
        <c:ser>
          <c:idx val="1"/>
          <c:order val="1"/>
          <c:tx>
            <c:strRef>
              <c:f>Лист1!$C$1</c:f>
              <c:strCache>
                <c:ptCount val="1"/>
                <c:pt idx="0">
                  <c:v>Потребность организаций в работниках, заявленная в службу занятости</c:v>
                </c:pt>
              </c:strCache>
            </c:strRef>
          </c:tx>
          <c:spPr>
            <a:gradFill>
              <a:gsLst>
                <a:gs pos="0">
                  <a:srgbClr val="FFF200"/>
                </a:gs>
                <a:gs pos="45000">
                  <a:srgbClr val="FF7A00"/>
                </a:gs>
                <a:gs pos="70000">
                  <a:srgbClr val="FF0300"/>
                </a:gs>
                <a:gs pos="100000">
                  <a:srgbClr val="4D0808"/>
                </a:gs>
              </a:gsLst>
              <a:lin ang="5400000" scaled="0"/>
            </a:gradFill>
            <a:effectLst>
              <a:innerShdw blurRad="152400" dist="50800" dir="2700000">
                <a:srgbClr val="640000">
                  <a:alpha val="89804"/>
                </a:srgbClr>
              </a:innerShdw>
            </a:effectLst>
          </c:spPr>
          <c:invertIfNegative val="0"/>
          <c:cat>
            <c:strRef>
              <c:f>Лист1!$A$2:$A$25</c:f>
              <c:strCache>
                <c:ptCount val="24"/>
                <c:pt idx="0">
                  <c:v>Янв</c:v>
                </c:pt>
                <c:pt idx="1">
                  <c:v>Фев</c:v>
                </c:pt>
                <c:pt idx="2">
                  <c:v>Мар</c:v>
                </c:pt>
                <c:pt idx="3">
                  <c:v>Апр</c:v>
                </c:pt>
                <c:pt idx="4">
                  <c:v>Май</c:v>
                </c:pt>
                <c:pt idx="5">
                  <c:v>Июнь</c:v>
                </c:pt>
                <c:pt idx="6">
                  <c:v>Июль</c:v>
                </c:pt>
                <c:pt idx="7">
                  <c:v>Авг</c:v>
                </c:pt>
                <c:pt idx="8">
                  <c:v>Сент</c:v>
                </c:pt>
                <c:pt idx="9">
                  <c:v>Окт</c:v>
                </c:pt>
                <c:pt idx="10">
                  <c:v>Нояб</c:v>
                </c:pt>
                <c:pt idx="11">
                  <c:v>Дек</c:v>
                </c:pt>
                <c:pt idx="12">
                  <c:v>Янв</c:v>
                </c:pt>
                <c:pt idx="13">
                  <c:v>Фев</c:v>
                </c:pt>
                <c:pt idx="14">
                  <c:v>Мар</c:v>
                </c:pt>
                <c:pt idx="15">
                  <c:v>Апр</c:v>
                </c:pt>
                <c:pt idx="16">
                  <c:v>Май</c:v>
                </c:pt>
                <c:pt idx="17">
                  <c:v>Июнь</c:v>
                </c:pt>
                <c:pt idx="18">
                  <c:v>Июль</c:v>
                </c:pt>
                <c:pt idx="19">
                  <c:v>Авг</c:v>
                </c:pt>
                <c:pt idx="20">
                  <c:v>Сент</c:v>
                </c:pt>
                <c:pt idx="21">
                  <c:v>Окт</c:v>
                </c:pt>
                <c:pt idx="22">
                  <c:v>Нояб</c:v>
                </c:pt>
                <c:pt idx="23">
                  <c:v>Дек</c:v>
                </c:pt>
              </c:strCache>
            </c:strRef>
          </c:cat>
          <c:val>
            <c:numRef>
              <c:f>Лист1!$C$2:$C$25</c:f>
              <c:numCache>
                <c:formatCode>0.00</c:formatCode>
                <c:ptCount val="24"/>
                <c:pt idx="0">
                  <c:v>6.298</c:v>
                </c:pt>
                <c:pt idx="1">
                  <c:v>6.2389999999999999</c:v>
                </c:pt>
                <c:pt idx="2">
                  <c:v>5.7910000000000004</c:v>
                </c:pt>
                <c:pt idx="3">
                  <c:v>5.9059999999999997</c:v>
                </c:pt>
                <c:pt idx="4">
                  <c:v>6.8029999999999999</c:v>
                </c:pt>
                <c:pt idx="5">
                  <c:v>7.2720000000000002</c:v>
                </c:pt>
                <c:pt idx="6">
                  <c:v>7.1989999999999998</c:v>
                </c:pt>
                <c:pt idx="7">
                  <c:v>7.4059999999999997</c:v>
                </c:pt>
                <c:pt idx="8">
                  <c:v>8.4640000000000004</c:v>
                </c:pt>
                <c:pt idx="9">
                  <c:v>7.4809999999999999</c:v>
                </c:pt>
                <c:pt idx="10">
                  <c:v>5.7679999999999998</c:v>
                </c:pt>
                <c:pt idx="11">
                  <c:v>5.1040000000000001</c:v>
                </c:pt>
                <c:pt idx="12">
                  <c:v>7.3129999999999997</c:v>
                </c:pt>
                <c:pt idx="13">
                  <c:v>8.5250000000000004</c:v>
                </c:pt>
                <c:pt idx="14">
                  <c:v>9.1530000000000005</c:v>
                </c:pt>
                <c:pt idx="15">
                  <c:v>10.903</c:v>
                </c:pt>
                <c:pt idx="16">
                  <c:v>13.391999999999999</c:v>
                </c:pt>
                <c:pt idx="17">
                  <c:v>33.070999999999998</c:v>
                </c:pt>
                <c:pt idx="18">
                  <c:v>33.948</c:v>
                </c:pt>
                <c:pt idx="19">
                  <c:v>32.506999999999998</c:v>
                </c:pt>
                <c:pt idx="20">
                  <c:v>36.125999999999998</c:v>
                </c:pt>
                <c:pt idx="21">
                  <c:v>34.042000000000002</c:v>
                </c:pt>
                <c:pt idx="22">
                  <c:v>31.994</c:v>
                </c:pt>
                <c:pt idx="23">
                  <c:v>29.71</c:v>
                </c:pt>
              </c:numCache>
            </c:numRef>
          </c:val>
        </c:ser>
        <c:dLbls>
          <c:showLegendKey val="0"/>
          <c:showVal val="0"/>
          <c:showCatName val="0"/>
          <c:showSerName val="0"/>
          <c:showPercent val="0"/>
          <c:showBubbleSize val="0"/>
        </c:dLbls>
        <c:gapWidth val="36"/>
        <c:axId val="92216320"/>
        <c:axId val="92267264"/>
      </c:barChart>
      <c:catAx>
        <c:axId val="92216320"/>
        <c:scaling>
          <c:orientation val="minMax"/>
        </c:scaling>
        <c:delete val="0"/>
        <c:axPos val="b"/>
        <c:numFmt formatCode="General" sourceLinked="1"/>
        <c:majorTickMark val="out"/>
        <c:minorTickMark val="none"/>
        <c:tickLblPos val="nextTo"/>
        <c:crossAx val="92267264"/>
        <c:crosses val="autoZero"/>
        <c:auto val="1"/>
        <c:lblAlgn val="ctr"/>
        <c:lblOffset val="100"/>
        <c:noMultiLvlLbl val="0"/>
      </c:catAx>
      <c:valAx>
        <c:axId val="92267264"/>
        <c:scaling>
          <c:orientation val="minMax"/>
          <c:max val="34"/>
        </c:scaling>
        <c:delete val="0"/>
        <c:axPos val="l"/>
        <c:majorGridlines>
          <c:spPr>
            <a:ln>
              <a:noFill/>
            </a:ln>
          </c:spPr>
        </c:majorGridlines>
        <c:numFmt formatCode="0.00" sourceLinked="1"/>
        <c:majorTickMark val="out"/>
        <c:minorTickMark val="none"/>
        <c:tickLblPos val="nextTo"/>
        <c:txPr>
          <a:bodyPr/>
          <a:lstStyle/>
          <a:p>
            <a:pPr>
              <a:defRPr sz="800"/>
            </a:pPr>
            <a:endParaRPr lang="ru-RU"/>
          </a:p>
        </c:txPr>
        <c:crossAx val="92216320"/>
        <c:crosses val="autoZero"/>
        <c:crossBetween val="between"/>
        <c:majorUnit val="8"/>
      </c:valAx>
      <c:spPr>
        <a:noFill/>
        <a:ln>
          <a:noFill/>
        </a:ln>
      </c:spPr>
    </c:plotArea>
    <c:legend>
      <c:legendPos val="b"/>
      <c:layout>
        <c:manualLayout>
          <c:xMode val="edge"/>
          <c:yMode val="edge"/>
          <c:x val="0.1778378464887011"/>
          <c:y val="0.75487150496673827"/>
          <c:w val="0.64432414698162732"/>
          <c:h val="0.17946069327439618"/>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13529535043861"/>
          <c:y val="0.12225563909774437"/>
          <c:w val="0.40206397637795277"/>
          <c:h val="0.81430678760091701"/>
        </c:manualLayout>
      </c:layout>
      <c:radarChart>
        <c:radarStyle val="filled"/>
        <c:varyColors val="0"/>
        <c:ser>
          <c:idx val="0"/>
          <c:order val="0"/>
          <c:tx>
            <c:strRef>
              <c:f>Sheet1!$A$2</c:f>
              <c:strCache>
                <c:ptCount val="1"/>
                <c:pt idx="0">
                  <c:v>2016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0475" cmpd="thickThin">
              <a:solidFill>
                <a:srgbClr val="0000FF"/>
              </a:solidFill>
              <a:prstDash val="solid"/>
            </a:ln>
            <a:effectLst>
              <a:outerShdw blurRad="50800" dist="50800" dir="5400000" algn="ctr" rotWithShape="0">
                <a:srgbClr val="1F497D">
                  <a:lumMod val="20000"/>
                  <a:lumOff val="80000"/>
                </a:srgbClr>
              </a:outerShdw>
            </a:effectLst>
          </c:spPr>
          <c:dLbls>
            <c:dLbl>
              <c:idx val="0"/>
              <c:layout>
                <c:manualLayout>
                  <c:x val="2.7812007874015748E-2"/>
                  <c:y val="4.5958337486295228E-2"/>
                </c:manualLayout>
              </c:layout>
              <c:showLegendKey val="0"/>
              <c:showVal val="1"/>
              <c:showCatName val="0"/>
              <c:showSerName val="0"/>
              <c:showPercent val="0"/>
              <c:showBubbleSize val="0"/>
            </c:dLbl>
            <c:dLbl>
              <c:idx val="1"/>
              <c:layout>
                <c:manualLayout>
                  <c:x val="-2.1388123359579975E-2"/>
                  <c:y val="-3.311438918236486E-2"/>
                </c:manualLayout>
              </c:layout>
              <c:showLegendKey val="0"/>
              <c:showVal val="1"/>
              <c:showCatName val="0"/>
              <c:showSerName val="0"/>
              <c:showPercent val="0"/>
              <c:showBubbleSize val="0"/>
            </c:dLbl>
            <c:dLbl>
              <c:idx val="2"/>
              <c:layout>
                <c:manualLayout>
                  <c:x val="1.6215059055118112E-2"/>
                  <c:y val="-7.7529486029436198E-2"/>
                </c:manualLayout>
              </c:layout>
              <c:showLegendKey val="0"/>
              <c:showVal val="1"/>
              <c:showCatName val="0"/>
              <c:showSerName val="0"/>
              <c:showPercent val="0"/>
              <c:showBubbleSize val="0"/>
            </c:dLbl>
            <c:dLbl>
              <c:idx val="3"/>
              <c:layout>
                <c:manualLayout>
                  <c:x val="4.1259678477690291E-2"/>
                  <c:y val="-1.7711551878799959E-2"/>
                </c:manualLayout>
              </c:layout>
              <c:showLegendKey val="0"/>
              <c:showVal val="1"/>
              <c:showCatName val="0"/>
              <c:showSerName val="0"/>
              <c:showPercent val="0"/>
              <c:showBubbleSize val="0"/>
            </c:dLbl>
            <c:dLbl>
              <c:idx val="4"/>
              <c:layout>
                <c:manualLayout>
                  <c:x val="1.1091085097252578E-2"/>
                  <c:y val="7.8998283109348172E-2"/>
                </c:manualLayout>
              </c:layout>
              <c:showLegendKey val="0"/>
              <c:showVal val="1"/>
              <c:showCatName val="0"/>
              <c:showSerName val="0"/>
              <c:showPercent val="0"/>
              <c:showBubbleSize val="0"/>
            </c:dLbl>
            <c:txPr>
              <a:bodyPr/>
              <a:lstStyle/>
              <a:p>
                <a:pPr>
                  <a:defRPr sz="1000">
                    <a:solidFill>
                      <a:srgbClr val="0000FF"/>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на продукцию                                                                                                                            (затраты, услуги) инвестиционного назначения</c:v>
                </c:pt>
                <c:pt idx="3">
                  <c:v>Индекс цен производителей  сельскохозяйственной  продукции</c:v>
                </c:pt>
                <c:pt idx="4">
                  <c:v>Индекс тарифов на грузовые перевозки</c:v>
                </c:pt>
              </c:strCache>
            </c:strRef>
          </c:cat>
          <c:val>
            <c:numRef>
              <c:f>Sheet1!$B$2:$F$2</c:f>
              <c:numCache>
                <c:formatCode>0.0</c:formatCode>
                <c:ptCount val="5"/>
                <c:pt idx="0">
                  <c:v>105</c:v>
                </c:pt>
                <c:pt idx="1">
                  <c:v>107.3</c:v>
                </c:pt>
                <c:pt idx="2">
                  <c:v>114.2</c:v>
                </c:pt>
                <c:pt idx="3">
                  <c:v>107.3</c:v>
                </c:pt>
                <c:pt idx="4">
                  <c:v>116.4</c:v>
                </c:pt>
              </c:numCache>
            </c:numRef>
          </c:val>
        </c:ser>
        <c:ser>
          <c:idx val="1"/>
          <c:order val="1"/>
          <c:tx>
            <c:strRef>
              <c:f>Sheet1!$A$3</c:f>
              <c:strCache>
                <c:ptCount val="1"/>
                <c:pt idx="0">
                  <c:v>2017 год</c:v>
                </c:pt>
              </c:strCache>
            </c:strRef>
          </c:tx>
          <c:spPr>
            <a:gradFill>
              <a:gsLst>
                <a:gs pos="0">
                  <a:sysClr val="window" lastClr="FFFFFF">
                    <a:lumMod val="95000"/>
                  </a:sysClr>
                </a:gs>
                <a:gs pos="50000">
                  <a:srgbClr val="99CCFF">
                    <a:gamma/>
                    <a:tint val="0"/>
                    <a:invGamma/>
                    <a:alpha val="0"/>
                  </a:srgbClr>
                </a:gs>
                <a:gs pos="100000">
                  <a:sysClr val="window" lastClr="FFFFFF">
                    <a:alpha val="0"/>
                  </a:sysClr>
                </a:gs>
              </a:gsLst>
              <a:lin ang="0" scaled="1"/>
            </a:gradFill>
            <a:ln w="38100" cmpd="dbl">
              <a:solidFill>
                <a:srgbClr val="C00000"/>
              </a:solidFill>
              <a:prstDash val="sysDash"/>
            </a:ln>
          </c:spPr>
          <c:dLbls>
            <c:dLbl>
              <c:idx val="0"/>
              <c:layout>
                <c:manualLayout>
                  <c:x val="-2.7372047244094488E-2"/>
                  <c:y val="0.12275922788132496"/>
                </c:manualLayout>
              </c:layout>
              <c:showLegendKey val="0"/>
              <c:showVal val="1"/>
              <c:showCatName val="0"/>
              <c:showSerName val="0"/>
              <c:showPercent val="0"/>
              <c:showBubbleSize val="0"/>
            </c:dLbl>
            <c:dLbl>
              <c:idx val="1"/>
              <c:layout>
                <c:manualLayout>
                  <c:x val="-7.4908136482939633E-2"/>
                  <c:y val="1.7667032127313201E-2"/>
                </c:manualLayout>
              </c:layout>
              <c:showLegendKey val="0"/>
              <c:showVal val="1"/>
              <c:showCatName val="0"/>
              <c:showSerName val="0"/>
              <c:showPercent val="0"/>
              <c:showBubbleSize val="0"/>
            </c:dLbl>
            <c:dLbl>
              <c:idx val="2"/>
              <c:layout>
                <c:manualLayout>
                  <c:x val="-4.7465045956707884E-2"/>
                  <c:y val="3.7933416217709628E-3"/>
                </c:manualLayout>
              </c:layout>
              <c:showLegendKey val="0"/>
              <c:showVal val="1"/>
              <c:showCatName val="0"/>
              <c:showSerName val="0"/>
              <c:showPercent val="0"/>
              <c:showBubbleSize val="0"/>
            </c:dLbl>
            <c:dLbl>
              <c:idx val="3"/>
              <c:layout>
                <c:manualLayout>
                  <c:x val="3.2655309721265784E-2"/>
                  <c:y val="-4.8838632013103629E-3"/>
                </c:manualLayout>
              </c:layout>
              <c:showLegendKey val="0"/>
              <c:showVal val="1"/>
              <c:showCatName val="0"/>
              <c:showSerName val="0"/>
              <c:showPercent val="0"/>
              <c:showBubbleSize val="0"/>
            </c:dLbl>
            <c:dLbl>
              <c:idx val="4"/>
              <c:layout>
                <c:manualLayout>
                  <c:x val="3.7417642186361684E-2"/>
                  <c:y val="-3.5015096797110887E-2"/>
                </c:manualLayout>
              </c:layout>
              <c:showLegendKey val="0"/>
              <c:showVal val="1"/>
              <c:showCatName val="0"/>
              <c:showSerName val="0"/>
              <c:showPercent val="0"/>
              <c:showBubbleSize val="0"/>
            </c:dLbl>
            <c:txPr>
              <a:bodyPr/>
              <a:lstStyle/>
              <a:p>
                <a:pPr>
                  <a:defRPr sz="100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Индекс потребительских цен</c:v>
                </c:pt>
                <c:pt idx="1">
                  <c:v>Индекс цен производителей промышленных товаров</c:v>
                </c:pt>
                <c:pt idx="2">
                  <c:v>Сводный индекс цен на продукцию                                                                                                                            (затраты, услуги) инвестиционного назначения</c:v>
                </c:pt>
                <c:pt idx="3">
                  <c:v>Индекс цен производителей  сельскохозяйственной  продукции</c:v>
                </c:pt>
                <c:pt idx="4">
                  <c:v>Индекс тарифов на грузовые перевозки</c:v>
                </c:pt>
              </c:strCache>
            </c:strRef>
          </c:cat>
          <c:val>
            <c:numRef>
              <c:f>Sheet1!$B$3:$F$3</c:f>
              <c:numCache>
                <c:formatCode>0.0</c:formatCode>
                <c:ptCount val="5"/>
                <c:pt idx="0">
                  <c:v>101.7</c:v>
                </c:pt>
                <c:pt idx="1">
                  <c:v>98.9</c:v>
                </c:pt>
                <c:pt idx="2">
                  <c:v>109.7</c:v>
                </c:pt>
                <c:pt idx="3">
                  <c:v>89.2</c:v>
                </c:pt>
                <c:pt idx="4">
                  <c:v>127.9</c:v>
                </c:pt>
              </c:numCache>
            </c:numRef>
          </c:val>
        </c:ser>
        <c:dLbls>
          <c:showLegendKey val="0"/>
          <c:showVal val="0"/>
          <c:showCatName val="0"/>
          <c:showSerName val="0"/>
          <c:showPercent val="0"/>
          <c:showBubbleSize val="0"/>
        </c:dLbls>
        <c:axId val="78592640"/>
        <c:axId val="78598528"/>
      </c:radarChart>
      <c:catAx>
        <c:axId val="78592640"/>
        <c:scaling>
          <c:orientation val="minMax"/>
        </c:scaling>
        <c:delete val="0"/>
        <c:axPos val="b"/>
        <c:majorGridlines>
          <c:spPr>
            <a:ln w="2770">
              <a:solidFill>
                <a:srgbClr val="000000"/>
              </a:solidFill>
              <a:prstDash val="solid"/>
            </a:ln>
          </c:spPr>
        </c:majorGridlines>
        <c:numFmt formatCode="General" sourceLinked="1"/>
        <c:majorTickMark val="out"/>
        <c:minorTickMark val="none"/>
        <c:tickLblPos val="nextTo"/>
        <c:txPr>
          <a:bodyPr rot="0" vert="horz"/>
          <a:lstStyle/>
          <a:p>
            <a:pPr>
              <a:defRPr sz="872" b="1" i="0" u="none" strike="noStrike" baseline="0">
                <a:solidFill>
                  <a:srgbClr val="000000"/>
                </a:solidFill>
                <a:latin typeface="Times New Roman"/>
                <a:ea typeface="Times New Roman"/>
                <a:cs typeface="Times New Roman"/>
              </a:defRPr>
            </a:pPr>
            <a:endParaRPr lang="ru-RU"/>
          </a:p>
        </c:txPr>
        <c:crossAx val="78598528"/>
        <c:crosses val="autoZero"/>
        <c:auto val="0"/>
        <c:lblAlgn val="ctr"/>
        <c:lblOffset val="100"/>
        <c:noMultiLvlLbl val="0"/>
      </c:catAx>
      <c:valAx>
        <c:axId val="78598528"/>
        <c:scaling>
          <c:orientation val="minMax"/>
          <c:max val="130"/>
          <c:min val="80"/>
        </c:scaling>
        <c:delete val="0"/>
        <c:axPos val="l"/>
        <c:numFmt formatCode="0.0" sourceLinked="1"/>
        <c:majorTickMark val="none"/>
        <c:minorTickMark val="none"/>
        <c:tickLblPos val="none"/>
        <c:spPr>
          <a:ln w="2770">
            <a:solidFill>
              <a:srgbClr val="000000"/>
            </a:solidFill>
            <a:prstDash val="solid"/>
          </a:ln>
        </c:spPr>
        <c:crossAx val="78592640"/>
        <c:crosses val="autoZero"/>
        <c:crossBetween val="between"/>
        <c:majorUnit val="20"/>
        <c:minorUnit val="4"/>
      </c:valAx>
      <c:spPr>
        <a:noFill/>
        <a:ln w="22259">
          <a:noFill/>
        </a:ln>
      </c:spPr>
    </c:plotArea>
    <c:legend>
      <c:legendPos val="r"/>
      <c:overlay val="0"/>
      <c:spPr>
        <a:noFill/>
        <a:ln w="22163">
          <a:noFill/>
        </a:ln>
      </c:spPr>
      <c:txPr>
        <a:bodyPr/>
        <a:lstStyle/>
        <a:p>
          <a:pPr>
            <a:defRPr sz="873"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35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manualLayout>
          <c:layoutTarget val="inner"/>
          <c:xMode val="edge"/>
          <c:yMode val="edge"/>
          <c:x val="2.7777777777777776E-2"/>
          <c:y val="0"/>
          <c:w val="0.91171496792067663"/>
          <c:h val="0.73353064690443104"/>
        </c:manualLayout>
      </c:layout>
      <c:lineChart>
        <c:grouping val="standard"/>
        <c:varyColors val="0"/>
        <c:ser>
          <c:idx val="0"/>
          <c:order val="0"/>
          <c:tx>
            <c:strRef>
              <c:f>Лист1!$B$1</c:f>
              <c:strCache>
                <c:ptCount val="1"/>
                <c:pt idx="0">
                  <c:v>в % к предыдущему месяцу</c:v>
                </c:pt>
              </c:strCache>
            </c:strRef>
          </c:tx>
          <c:marker>
            <c:symbol val="none"/>
          </c:marker>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Лист1!$B$2:$B$25</c:f>
              <c:numCache>
                <c:formatCode>General</c:formatCode>
                <c:ptCount val="24"/>
                <c:pt idx="0">
                  <c:v>100.9</c:v>
                </c:pt>
                <c:pt idx="1">
                  <c:v>100.9</c:v>
                </c:pt>
                <c:pt idx="2">
                  <c:v>100.5</c:v>
                </c:pt>
                <c:pt idx="3">
                  <c:v>100.3</c:v>
                </c:pt>
                <c:pt idx="4">
                  <c:v>100.4</c:v>
                </c:pt>
                <c:pt idx="5">
                  <c:v>100.1</c:v>
                </c:pt>
                <c:pt idx="6">
                  <c:v>100.2</c:v>
                </c:pt>
                <c:pt idx="7">
                  <c:v>100.1</c:v>
                </c:pt>
                <c:pt idx="8">
                  <c:v>100.3</c:v>
                </c:pt>
                <c:pt idx="9">
                  <c:v>100.2</c:v>
                </c:pt>
                <c:pt idx="10">
                  <c:v>100.4</c:v>
                </c:pt>
                <c:pt idx="11">
                  <c:v>100.4</c:v>
                </c:pt>
                <c:pt idx="12">
                  <c:v>100.7</c:v>
                </c:pt>
                <c:pt idx="13">
                  <c:v>100.1</c:v>
                </c:pt>
                <c:pt idx="14">
                  <c:v>100.1</c:v>
                </c:pt>
                <c:pt idx="15">
                  <c:v>100</c:v>
                </c:pt>
                <c:pt idx="16">
                  <c:v>100</c:v>
                </c:pt>
                <c:pt idx="17">
                  <c:v>100</c:v>
                </c:pt>
                <c:pt idx="18">
                  <c:v>100.3</c:v>
                </c:pt>
                <c:pt idx="19">
                  <c:v>100.1</c:v>
                </c:pt>
                <c:pt idx="20">
                  <c:v>100</c:v>
                </c:pt>
                <c:pt idx="21">
                  <c:v>100.1</c:v>
                </c:pt>
                <c:pt idx="22">
                  <c:v>100.1</c:v>
                </c:pt>
                <c:pt idx="23">
                  <c:v>100.3</c:v>
                </c:pt>
              </c:numCache>
            </c:numRef>
          </c:val>
          <c:smooth val="1"/>
        </c:ser>
        <c:ser>
          <c:idx val="1"/>
          <c:order val="1"/>
          <c:tx>
            <c:strRef>
              <c:f>Лист1!$C$1</c:f>
              <c:strCache>
                <c:ptCount val="1"/>
                <c:pt idx="0">
                  <c:v>в % к соответствующему месяцу предыдущего года</c:v>
                </c:pt>
              </c:strCache>
            </c:strRef>
          </c:tx>
          <c:spPr>
            <a:ln>
              <a:prstDash val="sysDash"/>
            </a:ln>
          </c:spPr>
          <c:marker>
            <c:symbol val="none"/>
          </c:marker>
          <c:cat>
            <c:strRef>
              <c:f>Лист1!$A$2:$A$25</c:f>
              <c:strCache>
                <c:ptCount val="24"/>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strCache>
            </c:strRef>
          </c:cat>
          <c:val>
            <c:numRef>
              <c:f>Лист1!$C$2:$C$25</c:f>
              <c:numCache>
                <c:formatCode>General</c:formatCode>
                <c:ptCount val="24"/>
                <c:pt idx="0">
                  <c:v>110.4</c:v>
                </c:pt>
                <c:pt idx="1">
                  <c:v>109.1</c:v>
                </c:pt>
                <c:pt idx="2">
                  <c:v>107.9</c:v>
                </c:pt>
                <c:pt idx="3">
                  <c:v>107.6</c:v>
                </c:pt>
                <c:pt idx="4">
                  <c:v>107.8</c:v>
                </c:pt>
                <c:pt idx="5">
                  <c:v>107.6</c:v>
                </c:pt>
                <c:pt idx="6">
                  <c:v>106.8</c:v>
                </c:pt>
                <c:pt idx="7">
                  <c:v>106.8</c:v>
                </c:pt>
                <c:pt idx="8">
                  <c:v>106.2</c:v>
                </c:pt>
                <c:pt idx="9">
                  <c:v>105.6</c:v>
                </c:pt>
                <c:pt idx="10">
                  <c:v>105.1</c:v>
                </c:pt>
                <c:pt idx="11">
                  <c:v>105</c:v>
                </c:pt>
                <c:pt idx="12">
                  <c:v>104.7</c:v>
                </c:pt>
                <c:pt idx="13">
                  <c:v>103.8</c:v>
                </c:pt>
                <c:pt idx="14">
                  <c:v>103.4</c:v>
                </c:pt>
                <c:pt idx="15">
                  <c:v>103.2</c:v>
                </c:pt>
                <c:pt idx="16">
                  <c:v>102.7</c:v>
                </c:pt>
                <c:pt idx="17">
                  <c:v>102.5</c:v>
                </c:pt>
                <c:pt idx="18">
                  <c:v>102.7</c:v>
                </c:pt>
                <c:pt idx="19">
                  <c:v>102.7</c:v>
                </c:pt>
                <c:pt idx="20">
                  <c:v>102.4</c:v>
                </c:pt>
                <c:pt idx="21">
                  <c:v>102.2</c:v>
                </c:pt>
                <c:pt idx="22">
                  <c:v>101.9</c:v>
                </c:pt>
                <c:pt idx="23">
                  <c:v>101.7</c:v>
                </c:pt>
              </c:numCache>
            </c:numRef>
          </c:val>
          <c:smooth val="1"/>
        </c:ser>
        <c:dLbls>
          <c:showLegendKey val="0"/>
          <c:showVal val="0"/>
          <c:showCatName val="0"/>
          <c:showSerName val="0"/>
          <c:showPercent val="0"/>
          <c:showBubbleSize val="0"/>
        </c:dLbls>
        <c:marker val="1"/>
        <c:smooth val="0"/>
        <c:axId val="78608640"/>
        <c:axId val="78614528"/>
      </c:lineChart>
      <c:dateAx>
        <c:axId val="78608640"/>
        <c:scaling>
          <c:orientation val="minMax"/>
          <c:max val="24"/>
          <c:min val="1"/>
        </c:scaling>
        <c:delete val="0"/>
        <c:axPos val="b"/>
        <c:numFmt formatCode="mmm\-yy" sourceLinked="1"/>
        <c:majorTickMark val="out"/>
        <c:minorTickMark val="none"/>
        <c:tickLblPos val="nextTo"/>
        <c:crossAx val="78614528"/>
        <c:crossesAt val="100"/>
        <c:auto val="0"/>
        <c:lblOffset val="100"/>
        <c:baseTimeUnit val="months"/>
        <c:majorUnit val="1"/>
        <c:majorTimeUnit val="months"/>
      </c:dateAx>
      <c:valAx>
        <c:axId val="78614528"/>
        <c:scaling>
          <c:orientation val="minMax"/>
          <c:max val="112"/>
          <c:min val="98"/>
        </c:scaling>
        <c:delete val="0"/>
        <c:axPos val="l"/>
        <c:majorGridlines/>
        <c:numFmt formatCode="#,##0.0" sourceLinked="0"/>
        <c:majorTickMark val="out"/>
        <c:minorTickMark val="none"/>
        <c:tickLblPos val="nextTo"/>
        <c:crossAx val="78608640"/>
        <c:crosses val="autoZero"/>
        <c:crossBetween val="between"/>
        <c:majorUnit val="10"/>
      </c:valAx>
    </c:plotArea>
    <c:legend>
      <c:legendPos val="b"/>
      <c:layout>
        <c:manualLayout>
          <c:xMode val="edge"/>
          <c:yMode val="edge"/>
          <c:x val="0.21898149728188002"/>
          <c:y val="0.87763439864134629"/>
          <c:w val="0.56953560371517031"/>
          <c:h val="0.12236560135865368"/>
        </c:manualLayout>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2.3655913978494623E-2"/>
          <c:y val="0.1005464480874317"/>
          <c:w val="0.95268817204301071"/>
          <c:h val="0.55264472268835252"/>
        </c:manualLayout>
      </c:layout>
      <c:barChart>
        <c:barDir val="col"/>
        <c:grouping val="clustered"/>
        <c:varyColors val="0"/>
        <c:ser>
          <c:idx val="0"/>
          <c:order val="0"/>
          <c:tx>
            <c:strRef>
              <c:f>Лист1!$B$1</c:f>
              <c:strCache>
                <c:ptCount val="1"/>
                <c:pt idx="0">
                  <c:v>Объем предоставленных ипотечных жилищных кредитов, млн. рублей</c:v>
                </c:pt>
              </c:strCache>
            </c:strRef>
          </c:tx>
          <c:invertIfNegative val="0"/>
          <c:dLbls>
            <c:dLbl>
              <c:idx val="1"/>
              <c:layout>
                <c:manualLayout>
                  <c:x val="0"/>
                  <c:y val="1.1594337593046771E-2"/>
                </c:manualLayout>
              </c:layout>
              <c:dLblPos val="outEnd"/>
              <c:showLegendKey val="0"/>
              <c:showVal val="1"/>
              <c:showCatName val="0"/>
              <c:showSerName val="0"/>
              <c:showPercent val="0"/>
              <c:showBubbleSize val="0"/>
            </c:dLbl>
            <c:dLbl>
              <c:idx val="2"/>
              <c:layout>
                <c:manualLayout>
                  <c:x val="0"/>
                  <c:y val="1.1594337593046771E-2"/>
                </c:manualLayout>
              </c:layout>
              <c:dLblPos val="outEnd"/>
              <c:showLegendKey val="0"/>
              <c:showVal val="1"/>
              <c:showCatName val="0"/>
              <c:showSerName val="0"/>
              <c:showPercent val="0"/>
              <c:showBubbleSize val="0"/>
            </c:dLbl>
            <c:txPr>
              <a:bodyPr/>
              <a:lstStyle/>
              <a:p>
                <a:pPr>
                  <a:defRPr sz="1200" b="1"/>
                </a:pPr>
                <a:endParaRPr lang="ru-RU"/>
              </a:p>
            </c:txPr>
            <c:dLblPos val="inEnd"/>
            <c:showLegendKey val="0"/>
            <c:showVal val="1"/>
            <c:showCatName val="0"/>
            <c:showSerName val="0"/>
            <c:showPercent val="0"/>
            <c:showBubbleSize val="0"/>
            <c:showLeaderLines val="0"/>
          </c:dLbls>
          <c:cat>
            <c:strRef>
              <c:f>Лист1!$A$2:$A$4</c:f>
              <c:strCache>
                <c:ptCount val="3"/>
                <c:pt idx="0">
                  <c:v>январь-декабрь 2015</c:v>
                </c:pt>
                <c:pt idx="1">
                  <c:v>январь-декабрь 2016</c:v>
                </c:pt>
                <c:pt idx="2">
                  <c:v>январь-декабрь 2017</c:v>
                </c:pt>
              </c:strCache>
            </c:strRef>
          </c:cat>
          <c:val>
            <c:numRef>
              <c:f>Лист1!$B$2:$B$4</c:f>
              <c:numCache>
                <c:formatCode>General</c:formatCode>
                <c:ptCount val="3"/>
                <c:pt idx="0">
                  <c:v>5623.2</c:v>
                </c:pt>
                <c:pt idx="1">
                  <c:v>6562.7</c:v>
                </c:pt>
                <c:pt idx="2">
                  <c:v>9590</c:v>
                </c:pt>
              </c:numCache>
            </c:numRef>
          </c:val>
        </c:ser>
        <c:ser>
          <c:idx val="1"/>
          <c:order val="1"/>
          <c:tx>
            <c:strRef>
              <c:f>Лист1!$C$1</c:f>
              <c:strCache>
                <c:ptCount val="1"/>
                <c:pt idx="0">
                  <c:v>Задолженность по предоставленным ипотечным жилищным кредитам, млн. рублей</c:v>
                </c:pt>
              </c:strCache>
            </c:strRef>
          </c:tx>
          <c:invertIfNegative val="0"/>
          <c:dLbls>
            <c:dLbl>
              <c:idx val="0"/>
              <c:layout>
                <c:manualLayout>
                  <c:x val="0"/>
                  <c:y val="2.6229508196721311E-2"/>
                </c:manualLayout>
              </c:layout>
              <c:dLblPos val="outEnd"/>
              <c:showLegendKey val="0"/>
              <c:showVal val="1"/>
              <c:showCatName val="0"/>
              <c:showSerName val="0"/>
              <c:showPercent val="0"/>
              <c:showBubbleSize val="0"/>
            </c:dLbl>
            <c:dLbl>
              <c:idx val="1"/>
              <c:layout>
                <c:manualLayout>
                  <c:x val="2.1505376344086021E-3"/>
                  <c:y val="1.3114754098360656E-2"/>
                </c:manualLayout>
              </c:layout>
              <c:dLblPos val="outEnd"/>
              <c:showLegendKey val="0"/>
              <c:showVal val="1"/>
              <c:showCatName val="0"/>
              <c:showSerName val="0"/>
              <c:showPercent val="0"/>
              <c:showBubbleSize val="0"/>
            </c:dLbl>
            <c:dLbl>
              <c:idx val="2"/>
              <c:layout>
                <c:manualLayout>
                  <c:x val="0"/>
                  <c:y val="1.3114754098360656E-2"/>
                </c:manualLayout>
              </c:layout>
              <c:dLblPos val="outEnd"/>
              <c:showLegendKey val="0"/>
              <c:showVal val="1"/>
              <c:showCatName val="0"/>
              <c:showSerName val="0"/>
              <c:showPercent val="0"/>
              <c:showBubbleSize val="0"/>
            </c:dLbl>
            <c:txPr>
              <a:bodyPr/>
              <a:lstStyle/>
              <a:p>
                <a:pPr>
                  <a:defRPr sz="1200" b="1"/>
                </a:pPr>
                <a:endParaRPr lang="ru-RU"/>
              </a:p>
            </c:txPr>
            <c:dLblPos val="outEnd"/>
            <c:showLegendKey val="0"/>
            <c:showVal val="1"/>
            <c:showCatName val="0"/>
            <c:showSerName val="0"/>
            <c:showPercent val="0"/>
            <c:showBubbleSize val="0"/>
            <c:showLeaderLines val="0"/>
          </c:dLbls>
          <c:cat>
            <c:strRef>
              <c:f>Лист1!$A$2:$A$4</c:f>
              <c:strCache>
                <c:ptCount val="3"/>
                <c:pt idx="0">
                  <c:v>январь-декабрь 2015</c:v>
                </c:pt>
                <c:pt idx="1">
                  <c:v>январь-декабрь 2016</c:v>
                </c:pt>
                <c:pt idx="2">
                  <c:v>январь-декабрь 2017</c:v>
                </c:pt>
              </c:strCache>
            </c:strRef>
          </c:cat>
          <c:val>
            <c:numRef>
              <c:f>Лист1!$C$2:$C$4</c:f>
              <c:numCache>
                <c:formatCode>General</c:formatCode>
                <c:ptCount val="3"/>
                <c:pt idx="0">
                  <c:v>24785.5</c:v>
                </c:pt>
                <c:pt idx="1">
                  <c:v>27238.799999999999</c:v>
                </c:pt>
                <c:pt idx="2">
                  <c:v>29791.1</c:v>
                </c:pt>
              </c:numCache>
            </c:numRef>
          </c:val>
        </c:ser>
        <c:dLbls>
          <c:dLblPos val="ctr"/>
          <c:showLegendKey val="0"/>
          <c:showVal val="1"/>
          <c:showCatName val="0"/>
          <c:showSerName val="0"/>
          <c:showPercent val="0"/>
          <c:showBubbleSize val="0"/>
        </c:dLbls>
        <c:gapWidth val="90"/>
        <c:axId val="78662272"/>
        <c:axId val="78669312"/>
      </c:barChart>
      <c:lineChart>
        <c:grouping val="standard"/>
        <c:varyColors val="0"/>
        <c:ser>
          <c:idx val="2"/>
          <c:order val="2"/>
          <c:tx>
            <c:strRef>
              <c:f>Лист1!$D$1</c:f>
              <c:strCache>
                <c:ptCount val="1"/>
                <c:pt idx="0">
                  <c:v>Средневзвешенная процентная ставка по ипотечному кредиту на 01 января, процентов</c:v>
                </c:pt>
              </c:strCache>
            </c:strRef>
          </c:tx>
          <c:spPr>
            <a:ln>
              <a:solidFill>
                <a:srgbClr val="FF0000"/>
              </a:solidFill>
            </a:ln>
          </c:spPr>
          <c:marker>
            <c:spPr>
              <a:solidFill>
                <a:srgbClr val="FF0000"/>
              </a:solidFill>
              <a:ln>
                <a:solidFill>
                  <a:srgbClr val="FF0000"/>
                </a:solidFill>
              </a:ln>
            </c:spPr>
          </c:marker>
          <c:dLbls>
            <c:dLbl>
              <c:idx val="0"/>
              <c:layout>
                <c:manualLayout>
                  <c:x val="-8.6021505376344086E-3"/>
                  <c:y val="-5.5562497310786968E-2"/>
                </c:manualLayout>
              </c:layout>
              <c:dLblPos val="r"/>
              <c:showLegendKey val="0"/>
              <c:showVal val="1"/>
              <c:showCatName val="0"/>
              <c:showSerName val="0"/>
              <c:showPercent val="0"/>
              <c:showBubbleSize val="0"/>
            </c:dLbl>
            <c:dLbl>
              <c:idx val="1"/>
              <c:layout>
                <c:manualLayout>
                  <c:x val="6.4516129032258064E-3"/>
                  <c:y val="-8.7879179037046598E-4"/>
                </c:manualLayout>
              </c:layout>
              <c:dLblPos val="r"/>
              <c:showLegendKey val="0"/>
              <c:showVal val="1"/>
              <c:showCatName val="0"/>
              <c:showSerName val="0"/>
              <c:showPercent val="0"/>
              <c:showBubbleSize val="0"/>
            </c:dLbl>
            <c:dLbl>
              <c:idx val="2"/>
              <c:layout>
                <c:manualLayout>
                  <c:x val="-4.8387096774193551E-3"/>
                  <c:y val="1.4380104126328471E-2"/>
                </c:manualLayout>
              </c:layout>
              <c:dLblPos val="r"/>
              <c:showLegendKey val="0"/>
              <c:showVal val="1"/>
              <c:showCatName val="0"/>
              <c:showSerName val="0"/>
              <c:showPercent val="0"/>
              <c:showBubbleSize val="0"/>
            </c:dLbl>
            <c:numFmt formatCode="0.0%" sourceLinked="0"/>
            <c:spPr>
              <a:ln w="15875">
                <a:solidFill>
                  <a:srgbClr val="FF0000"/>
                </a:solidFill>
              </a:ln>
            </c:spPr>
            <c:txPr>
              <a:bodyPr/>
              <a:lstStyle/>
              <a:p>
                <a:pPr>
                  <a:defRPr sz="1200" b="1"/>
                </a:pPr>
                <a:endParaRPr lang="ru-RU"/>
              </a:p>
            </c:txPr>
            <c:dLblPos val="t"/>
            <c:showLegendKey val="0"/>
            <c:showVal val="1"/>
            <c:showCatName val="0"/>
            <c:showSerName val="0"/>
            <c:showPercent val="0"/>
            <c:showBubbleSize val="0"/>
            <c:showLeaderLines val="0"/>
          </c:dLbls>
          <c:cat>
            <c:strRef>
              <c:f>Лист1!$A$2:$A$4</c:f>
              <c:strCache>
                <c:ptCount val="3"/>
                <c:pt idx="0">
                  <c:v>январь-декабрь 2015</c:v>
                </c:pt>
                <c:pt idx="1">
                  <c:v>январь-декабрь 2016</c:v>
                </c:pt>
                <c:pt idx="2">
                  <c:v>январь-декабрь 2017</c:v>
                </c:pt>
              </c:strCache>
            </c:strRef>
          </c:cat>
          <c:val>
            <c:numRef>
              <c:f>Лист1!$D$2:$D$4</c:f>
              <c:numCache>
                <c:formatCode>General</c:formatCode>
                <c:ptCount val="3"/>
                <c:pt idx="0">
                  <c:v>0.13300000000000001</c:v>
                </c:pt>
                <c:pt idx="1">
                  <c:v>0.126</c:v>
                </c:pt>
                <c:pt idx="2">
                  <c:v>0.105</c:v>
                </c:pt>
              </c:numCache>
            </c:numRef>
          </c:val>
          <c:smooth val="0"/>
        </c:ser>
        <c:dLbls>
          <c:dLblPos val="ctr"/>
          <c:showLegendKey val="0"/>
          <c:showVal val="1"/>
          <c:showCatName val="0"/>
          <c:showSerName val="0"/>
          <c:showPercent val="0"/>
          <c:showBubbleSize val="0"/>
        </c:dLbls>
        <c:marker val="1"/>
        <c:smooth val="0"/>
        <c:axId val="78676736"/>
        <c:axId val="78670848"/>
      </c:lineChart>
      <c:catAx>
        <c:axId val="78662272"/>
        <c:scaling>
          <c:orientation val="minMax"/>
        </c:scaling>
        <c:delete val="0"/>
        <c:axPos val="b"/>
        <c:majorTickMark val="out"/>
        <c:minorTickMark val="none"/>
        <c:tickLblPos val="nextTo"/>
        <c:spPr>
          <a:noFill/>
          <a:ln>
            <a:solidFill>
              <a:schemeClr val="tx1"/>
            </a:solidFill>
          </a:ln>
        </c:spPr>
        <c:crossAx val="78669312"/>
        <c:crosses val="autoZero"/>
        <c:auto val="1"/>
        <c:lblAlgn val="ctr"/>
        <c:lblOffset val="100"/>
        <c:noMultiLvlLbl val="0"/>
      </c:catAx>
      <c:valAx>
        <c:axId val="78669312"/>
        <c:scaling>
          <c:orientation val="minMax"/>
          <c:max val="30000"/>
          <c:min val="5000"/>
        </c:scaling>
        <c:delete val="0"/>
        <c:axPos val="l"/>
        <c:majorGridlines>
          <c:spPr>
            <a:ln>
              <a:noFill/>
            </a:ln>
          </c:spPr>
        </c:majorGridlines>
        <c:numFmt formatCode="General" sourceLinked="1"/>
        <c:majorTickMark val="none"/>
        <c:minorTickMark val="none"/>
        <c:tickLblPos val="none"/>
        <c:spPr>
          <a:noFill/>
          <a:ln>
            <a:noFill/>
          </a:ln>
        </c:spPr>
        <c:crossAx val="78662272"/>
        <c:crosses val="autoZero"/>
        <c:crossBetween val="between"/>
        <c:majorUnit val="5000"/>
      </c:valAx>
      <c:valAx>
        <c:axId val="78670848"/>
        <c:scaling>
          <c:orientation val="minMax"/>
          <c:max val="0.13400000000000001"/>
          <c:min val="9.0000000000000024E-2"/>
        </c:scaling>
        <c:delete val="0"/>
        <c:axPos val="r"/>
        <c:numFmt formatCode="0.00%" sourceLinked="0"/>
        <c:majorTickMark val="none"/>
        <c:minorTickMark val="none"/>
        <c:tickLblPos val="none"/>
        <c:spPr>
          <a:noFill/>
          <a:ln>
            <a:noFill/>
          </a:ln>
        </c:spPr>
        <c:crossAx val="78676736"/>
        <c:crosses val="max"/>
        <c:crossBetween val="between"/>
        <c:majorUnit val="2.0000000000000004E-2"/>
      </c:valAx>
      <c:catAx>
        <c:axId val="78676736"/>
        <c:scaling>
          <c:orientation val="minMax"/>
        </c:scaling>
        <c:delete val="1"/>
        <c:axPos val="b"/>
        <c:majorTickMark val="out"/>
        <c:minorTickMark val="none"/>
        <c:tickLblPos val="nextTo"/>
        <c:crossAx val="78670848"/>
        <c:crosses val="autoZero"/>
        <c:auto val="1"/>
        <c:lblAlgn val="ctr"/>
        <c:lblOffset val="100"/>
        <c:noMultiLvlLbl val="0"/>
      </c:cat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9373665248365699E-2"/>
          <c:y val="4.4057617797775464E-2"/>
          <c:w val="0.91510360118028722"/>
          <c:h val="0.85282089738782962"/>
        </c:manualLayout>
      </c:layout>
      <c:bar3DChart>
        <c:barDir val="col"/>
        <c:grouping val="clustered"/>
        <c:varyColors val="0"/>
        <c:ser>
          <c:idx val="0"/>
          <c:order val="0"/>
          <c:tx>
            <c:strRef>
              <c:f>Лист1!$B$1</c:f>
              <c:strCache>
                <c:ptCount val="1"/>
                <c:pt idx="0">
                  <c:v>Доходы </c:v>
                </c:pt>
              </c:strCache>
            </c:strRef>
          </c:tx>
          <c:spPr>
            <a:solidFill>
              <a:srgbClr val="F79646">
                <a:lumMod val="60000"/>
                <a:lumOff val="40000"/>
              </a:srgbClr>
            </a:solidFill>
            <a:ln w="12700">
              <a:solidFill>
                <a:sysClr val="windowText" lastClr="000000"/>
              </a:solidFill>
            </a:ln>
            <a:effectLst>
              <a:innerShdw blurRad="63500" dist="50800">
                <a:prstClr val="black">
                  <a:alpha val="50000"/>
                </a:prstClr>
              </a:innerShdw>
            </a:effectLst>
          </c:spPr>
          <c:invertIfNegative val="0"/>
          <c:dLbls>
            <c:dLbl>
              <c:idx val="0"/>
              <c:layout>
                <c:manualLayout>
                  <c:x val="-2.4753557621807615E-2"/>
                  <c:y val="1.0464097789927723E-2"/>
                </c:manualLayout>
              </c:layout>
              <c:showLegendKey val="0"/>
              <c:showVal val="1"/>
              <c:showCatName val="0"/>
              <c:showSerName val="0"/>
              <c:showPercent val="0"/>
              <c:showBubbleSize val="0"/>
            </c:dLbl>
            <c:dLbl>
              <c:idx val="1"/>
              <c:layout>
                <c:manualLayout>
                  <c:x val="-2.2957973750530093E-2"/>
                  <c:y val="1.3709260305470782E-2"/>
                </c:manualLayout>
              </c:layout>
              <c:showLegendKey val="0"/>
              <c:showVal val="1"/>
              <c:showCatName val="0"/>
              <c:showSerName val="0"/>
              <c:showPercent val="0"/>
              <c:showBubbleSize val="0"/>
            </c:dLbl>
            <c:dLbl>
              <c:idx val="2"/>
              <c:layout>
                <c:manualLayout>
                  <c:x val="-3.2590344542431003E-2"/>
                  <c:y val="4.3396121556873368E-3"/>
                </c:manualLayout>
              </c:layout>
              <c:showLegendKey val="0"/>
              <c:showVal val="1"/>
              <c:showCatName val="0"/>
              <c:showSerName val="0"/>
              <c:showPercent val="0"/>
              <c:showBubbleSize val="0"/>
            </c:dLbl>
            <c:dLbl>
              <c:idx val="3"/>
              <c:layout>
                <c:manualLayout>
                  <c:x val="-3.8495896472108939E-3"/>
                  <c:y val="5.0518567968902625E-3"/>
                </c:manualLayout>
              </c:layout>
              <c:showLegendKey val="0"/>
              <c:showVal val="1"/>
              <c:showCatName val="0"/>
              <c:showSerName val="0"/>
              <c:showPercent val="0"/>
              <c:showBubbleSize val="0"/>
            </c:dLbl>
            <c:dLbl>
              <c:idx val="4"/>
              <c:layout>
                <c:manualLayout>
                  <c:x val="1.1448171897359711E-2"/>
                  <c:y val="3.9710451584923324E-3"/>
                </c:manualLayout>
              </c:layout>
              <c:showLegendKey val="0"/>
              <c:showVal val="1"/>
              <c:showCatName val="0"/>
              <c:showSerName val="0"/>
              <c:showPercent val="0"/>
              <c:showBubbleSize val="0"/>
            </c:dLbl>
            <c:dLbl>
              <c:idx val="5"/>
              <c:layout>
                <c:manualLayout>
                  <c:x val="4.8142333856619569E-2"/>
                  <c:y val="3.0665371374032791E-2"/>
                </c:manualLayout>
              </c:layout>
              <c:showLegendKey val="0"/>
              <c:showVal val="1"/>
              <c:showCatName val="0"/>
              <c:showSerName val="0"/>
              <c:showPercent val="0"/>
              <c:showBubbleSize val="0"/>
            </c:dLbl>
            <c:txPr>
              <a:bodyPr/>
              <a:lstStyle/>
              <a:p>
                <a:pPr>
                  <a:defRPr b="1"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75717.2</c:v>
                </c:pt>
                <c:pt idx="1">
                  <c:v>53778.3</c:v>
                </c:pt>
                <c:pt idx="2">
                  <c:v>52149.1</c:v>
                </c:pt>
                <c:pt idx="3">
                  <c:v>57803.7</c:v>
                </c:pt>
                <c:pt idx="4">
                  <c:v>58098.9</c:v>
                </c:pt>
              </c:numCache>
            </c:numRef>
          </c:val>
          <c:shape val="cylinder"/>
        </c:ser>
        <c:ser>
          <c:idx val="1"/>
          <c:order val="1"/>
          <c:tx>
            <c:strRef>
              <c:f>Лист1!$C$1</c:f>
              <c:strCache>
                <c:ptCount val="1"/>
                <c:pt idx="0">
                  <c:v>Расходы </c:v>
                </c:pt>
              </c:strCache>
            </c:strRef>
          </c:tx>
          <c:spPr>
            <a:solidFill>
              <a:srgbClr val="4BACC6">
                <a:lumMod val="75000"/>
              </a:srgbClr>
            </a:soli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5.3063881079619873E-2"/>
                  <c:y val="2.4896172187954847E-2"/>
                </c:manualLayout>
              </c:layout>
              <c:showLegendKey val="0"/>
              <c:showVal val="1"/>
              <c:showCatName val="0"/>
              <c:showSerName val="0"/>
              <c:showPercent val="0"/>
              <c:showBubbleSize val="0"/>
            </c:dLbl>
            <c:dLbl>
              <c:idx val="1"/>
              <c:layout>
                <c:manualLayout>
                  <c:x val="2.545569104158054E-2"/>
                  <c:y val="1.4069035375210632E-2"/>
                </c:manualLayout>
              </c:layout>
              <c:showLegendKey val="0"/>
              <c:showVal val="1"/>
              <c:showCatName val="0"/>
              <c:showSerName val="0"/>
              <c:showPercent val="0"/>
              <c:showBubbleSize val="0"/>
            </c:dLbl>
            <c:dLbl>
              <c:idx val="2"/>
              <c:layout>
                <c:manualLayout>
                  <c:x val="1.0555515791371839E-2"/>
                  <c:y val="7.57625092013893E-3"/>
                </c:manualLayout>
              </c:layout>
              <c:showLegendKey val="0"/>
              <c:showVal val="1"/>
              <c:showCatName val="0"/>
              <c:showSerName val="0"/>
              <c:showPercent val="0"/>
              <c:showBubbleSize val="0"/>
            </c:dLbl>
            <c:dLbl>
              <c:idx val="3"/>
              <c:layout>
                <c:manualLayout>
                  <c:x val="4.2684124791856237E-2"/>
                  <c:y val="1.2628448667072852E-2"/>
                </c:manualLayout>
              </c:layout>
              <c:showLegendKey val="0"/>
              <c:showVal val="1"/>
              <c:showCatName val="0"/>
              <c:showSerName val="0"/>
              <c:showPercent val="0"/>
              <c:showBubbleSize val="0"/>
            </c:dLbl>
            <c:dLbl>
              <c:idx val="4"/>
              <c:layout>
                <c:manualLayout>
                  <c:x val="6.868658575099118E-2"/>
                  <c:y val="4.3660016890665163E-2"/>
                </c:manualLayout>
              </c:layout>
              <c:showLegendKey val="0"/>
              <c:showVal val="1"/>
              <c:showCatName val="0"/>
              <c:showSerName val="0"/>
              <c:showPercent val="0"/>
              <c:showBubbleSize val="0"/>
            </c:dLbl>
            <c:dLbl>
              <c:idx val="5"/>
              <c:layout>
                <c:manualLayout>
                  <c:x val="2.5117739403453691E-2"/>
                  <c:y val="1.1906125370692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78530.399999999994</c:v>
                </c:pt>
                <c:pt idx="1">
                  <c:v>65427.199999999997</c:v>
                </c:pt>
                <c:pt idx="2">
                  <c:v>56426.5</c:v>
                </c:pt>
                <c:pt idx="3">
                  <c:v>54292.800000000003</c:v>
                </c:pt>
                <c:pt idx="4">
                  <c:v>57650.5</c:v>
                </c:pt>
              </c:numCache>
            </c:numRef>
          </c:val>
          <c:shape val="cylinder"/>
        </c:ser>
        <c:ser>
          <c:idx val="2"/>
          <c:order val="2"/>
          <c:tx>
            <c:strRef>
              <c:f>Лист1!$D$1</c:f>
              <c:strCache>
                <c:ptCount val="1"/>
                <c:pt idx="0">
                  <c:v>Дефицит (-)/Профицит (+) </c:v>
                </c:pt>
              </c:strCache>
            </c:strRef>
          </c:tx>
          <c:spPr>
            <a:solidFill>
              <a:srgbClr val="FF0000"/>
            </a:solidFill>
            <a:ln w="12700">
              <a:solidFill>
                <a:sysClr val="windowText" lastClr="000000"/>
              </a:solidFill>
            </a:ln>
          </c:spPr>
          <c:invertIfNegative val="0"/>
          <c:dLbls>
            <c:dLbl>
              <c:idx val="0"/>
              <c:layout>
                <c:manualLayout>
                  <c:x val="8.8418838949479144E-3"/>
                  <c:y val="8.658008658008658E-3"/>
                </c:manualLayout>
              </c:layout>
              <c:showLegendKey val="0"/>
              <c:showVal val="1"/>
              <c:showCatName val="0"/>
              <c:showSerName val="0"/>
              <c:showPercent val="0"/>
              <c:showBubbleSize val="0"/>
            </c:dLbl>
            <c:dLbl>
              <c:idx val="1"/>
              <c:layout>
                <c:manualLayout>
                  <c:x val="-6.4005480826969663E-3"/>
                  <c:y val="5.6289488407868987E-2"/>
                </c:manualLayout>
              </c:layout>
              <c:showLegendKey val="0"/>
              <c:showVal val="1"/>
              <c:showCatName val="0"/>
              <c:showSerName val="0"/>
              <c:showPercent val="0"/>
              <c:showBubbleSize val="0"/>
            </c:dLbl>
            <c:dLbl>
              <c:idx val="2"/>
              <c:layout>
                <c:manualLayout>
                  <c:x val="1.1107902802711914E-2"/>
                  <c:y val="5.6286419857476143E-2"/>
                </c:manualLayout>
              </c:layout>
              <c:showLegendKey val="0"/>
              <c:showVal val="1"/>
              <c:showCatName val="0"/>
              <c:showSerName val="0"/>
              <c:showPercent val="0"/>
              <c:showBubbleSize val="0"/>
            </c:dLbl>
            <c:dLbl>
              <c:idx val="3"/>
              <c:layout>
                <c:manualLayout>
                  <c:x val="3.105807384214351E-2"/>
                  <c:y val="-6.4780508294350252E-6"/>
                </c:manualLayout>
              </c:layout>
              <c:showLegendKey val="0"/>
              <c:showVal val="1"/>
              <c:showCatName val="0"/>
              <c:showSerName val="0"/>
              <c:showPercent val="0"/>
              <c:showBubbleSize val="0"/>
            </c:dLbl>
            <c:dLbl>
              <c:idx val="4"/>
              <c:layout>
                <c:manualLayout>
                  <c:x val="2.8794069698262672E-2"/>
                  <c:y val="-8.6631996593226363E-3"/>
                </c:manualLayout>
              </c:layout>
              <c:showLegendKey val="0"/>
              <c:showVal val="1"/>
              <c:showCatName val="0"/>
              <c:showSerName val="0"/>
              <c:showPercent val="0"/>
              <c:showBubbleSize val="0"/>
            </c:dLbl>
            <c:txPr>
              <a:bodyPr/>
              <a:lstStyle/>
              <a:p>
                <a:pPr>
                  <a:defRPr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-2813.2</c:v>
                </c:pt>
                <c:pt idx="1">
                  <c:v>-11648.9</c:v>
                </c:pt>
                <c:pt idx="2">
                  <c:v>-4277.3999999999996</c:v>
                </c:pt>
                <c:pt idx="3">
                  <c:v>3510.9</c:v>
                </c:pt>
                <c:pt idx="4">
                  <c:v>448.4</c:v>
                </c:pt>
              </c:numCache>
            </c:numRef>
          </c:val>
        </c:ser>
        <c:dLbls>
          <c:showLegendKey val="0"/>
          <c:showVal val="1"/>
          <c:showCatName val="0"/>
          <c:showSerName val="0"/>
          <c:showPercent val="0"/>
          <c:showBubbleSize val="0"/>
        </c:dLbls>
        <c:gapWidth val="150"/>
        <c:shape val="box"/>
        <c:axId val="78699520"/>
        <c:axId val="78709504"/>
        <c:axId val="0"/>
      </c:bar3DChart>
      <c:dateAx>
        <c:axId val="78699520"/>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78709504"/>
        <c:crosses val="autoZero"/>
        <c:auto val="0"/>
        <c:lblOffset val="100"/>
        <c:baseTimeUnit val="days"/>
      </c:dateAx>
      <c:valAx>
        <c:axId val="78709504"/>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78699520"/>
        <c:crosses val="autoZero"/>
        <c:crossBetween val="between"/>
      </c:valAx>
      <c:spPr>
        <a:solidFill>
          <a:schemeClr val="accent3">
            <a:lumMod val="20000"/>
            <a:lumOff val="80000"/>
          </a:schemeClr>
        </a:solidFill>
      </c:spPr>
    </c:plotArea>
    <c:legend>
      <c:legendPos val="b"/>
      <c:layout>
        <c:manualLayout>
          <c:xMode val="edge"/>
          <c:yMode val="edge"/>
          <c:x val="0.10499274547203338"/>
          <c:y val="0.90058799468248285"/>
          <c:w val="0.57262320470810713"/>
          <c:h val="7.3437979343491153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23132369647824"/>
          <c:y val="3.8023951459508855E-2"/>
          <c:w val="0.73286398958072752"/>
          <c:h val="0.96197604854049112"/>
        </c:manualLayout>
      </c:layout>
      <c:pie3DChart>
        <c:varyColors val="1"/>
        <c:ser>
          <c:idx val="0"/>
          <c:order val="0"/>
          <c:tx>
            <c:strRef>
              <c:f>Лист1!$B$1</c:f>
              <c:strCache>
                <c:ptCount val="1"/>
                <c:pt idx="0">
                  <c:v>Столбец1</c:v>
                </c:pt>
              </c:strCache>
            </c:strRef>
          </c:tx>
          <c:spPr>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explosion val="46"/>
          <c:dPt>
            <c:idx val="0"/>
            <c:bubble3D val="0"/>
            <c:spPr>
              <a:solidFill>
                <a:schemeClr val="tx2">
                  <a:lumMod val="60000"/>
                  <a:lumOff val="40000"/>
                </a:scheme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3"/>
            <c:bubble3D val="0"/>
            <c:spPr>
              <a:solidFill>
                <a:srgbClr val="00B0F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flat"/>
            </c:spPr>
          </c:dPt>
          <c:dPt>
            <c:idx val="4"/>
            <c:bubble3D val="0"/>
            <c:explosion val="47"/>
            <c:spPr>
              <a:solidFill>
                <a:srgbClr val="00B05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5"/>
            <c:bubble3D val="0"/>
            <c:spPr>
              <a:solidFill>
                <a:srgbClr val="00206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6"/>
            <c:bubble3D val="0"/>
            <c:spPr>
              <a:solidFill>
                <a:srgbClr val="FFFF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a:bevelT/>
                <a:bevelB/>
              </a:sp3d>
            </c:spPr>
          </c:dPt>
          <c:dPt>
            <c:idx val="7"/>
            <c:bubble3D val="0"/>
            <c:spPr>
              <a:solidFill>
                <a:srgbClr val="7030A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8"/>
            <c:bubble3D val="0"/>
            <c:spPr>
              <a:solidFill>
                <a:srgbClr val="FF0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Pt>
            <c:idx val="9"/>
            <c:bubble3D val="0"/>
            <c:spPr>
              <a:solidFill>
                <a:srgbClr val="FFC000"/>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prstMaterial="matte"/>
            </c:spPr>
          </c:dPt>
          <c:dPt>
            <c:idx val="11"/>
            <c:bubble3D val="0"/>
            <c:spPr>
              <a:solidFill>
                <a:srgbClr val="C0504D">
                  <a:lumMod val="40000"/>
                  <a:lumOff val="60000"/>
                </a:srgbClr>
              </a:solidFill>
              <a:ln w="15875">
                <a:solidFill>
                  <a:sysClr val="windowText" lastClr="000000"/>
                </a:solidFill>
              </a:ln>
              <a:effectLst>
                <a:outerShdw blurRad="50800" dist="50800" dir="5400000" algn="ctr" rotWithShape="0">
                  <a:schemeClr val="bg1">
                    <a:alpha val="9000"/>
                  </a:schemeClr>
                </a:outerShdw>
              </a:effectLst>
              <a:scene3d>
                <a:camera prst="orthographicFront"/>
                <a:lightRig rig="threePt" dir="t"/>
              </a:scene3d>
              <a:sp3d/>
            </c:spPr>
          </c:dPt>
          <c:dLbls>
            <c:dLbl>
              <c:idx val="0"/>
              <c:layout>
                <c:manualLayout>
                  <c:x val="9.55725310455596E-2"/>
                  <c:y val="-0.14100268842912855"/>
                </c:manualLayout>
              </c:layout>
              <c:tx>
                <c:rich>
                  <a:bodyPr/>
                  <a:lstStyle/>
                  <a:p>
                    <a:r>
                      <a:rPr lang="ru-RU"/>
                      <a:t>Общегосударствен-ные вопросы; 8,0</a:t>
                    </a:r>
                  </a:p>
                </c:rich>
              </c:tx>
              <c:showLegendKey val="1"/>
              <c:showVal val="1"/>
              <c:showCatName val="1"/>
              <c:showSerName val="0"/>
              <c:showPercent val="0"/>
              <c:showBubbleSize val="0"/>
            </c:dLbl>
            <c:dLbl>
              <c:idx val="1"/>
              <c:layout>
                <c:manualLayout>
                  <c:x val="0.14298154913248057"/>
                  <c:y val="-4.803364118928833E-2"/>
                </c:manualLayout>
              </c:layout>
              <c:tx>
                <c:rich>
                  <a:bodyPr/>
                  <a:lstStyle/>
                  <a:p>
                    <a:r>
                      <a:rPr lang="ru-RU"/>
                      <a:t>Национальная оборона; 0,1</a:t>
                    </a:r>
                  </a:p>
                </c:rich>
              </c:tx>
              <c:showLegendKey val="1"/>
              <c:showVal val="1"/>
              <c:showCatName val="1"/>
              <c:showSerName val="0"/>
              <c:showPercent val="0"/>
              <c:showBubbleSize val="0"/>
            </c:dLbl>
            <c:dLbl>
              <c:idx val="2"/>
              <c:layout>
                <c:manualLayout>
                  <c:x val="0.1380631919351703"/>
                  <c:y val="0.13182100625480164"/>
                </c:manualLayout>
              </c:layout>
              <c:tx>
                <c:rich>
                  <a:bodyPr/>
                  <a:lstStyle/>
                  <a:p>
                    <a:r>
                      <a:rPr lang="ru-RU"/>
                      <a:t>Национальная безопасность и правоохранитель-ная деятельность; 1,8</a:t>
                    </a:r>
                  </a:p>
                </c:rich>
              </c:tx>
              <c:showLegendKey val="1"/>
              <c:showVal val="1"/>
              <c:showCatName val="1"/>
              <c:showSerName val="0"/>
              <c:showPercent val="0"/>
              <c:showBubbleSize val="0"/>
            </c:dLbl>
            <c:dLbl>
              <c:idx val="3"/>
              <c:layout>
                <c:manualLayout>
                  <c:x val="3.2527457879597696E-2"/>
                  <c:y val="0.14284401108924655"/>
                </c:manualLayout>
              </c:layout>
              <c:tx>
                <c:rich>
                  <a:bodyPr/>
                  <a:lstStyle/>
                  <a:p>
                    <a:r>
                      <a:rPr lang="ru-RU"/>
                      <a:t>Национальная экономика; 16,0</a:t>
                    </a:r>
                  </a:p>
                </c:rich>
              </c:tx>
              <c:showLegendKey val="1"/>
              <c:showVal val="1"/>
              <c:showCatName val="1"/>
              <c:showSerName val="0"/>
              <c:showPercent val="0"/>
              <c:showBubbleSize val="0"/>
            </c:dLbl>
            <c:dLbl>
              <c:idx val="4"/>
              <c:layout>
                <c:manualLayout>
                  <c:x val="-4.061300842463323E-2"/>
                  <c:y val="7.658453894448633E-2"/>
                </c:manualLayout>
              </c:layout>
              <c:tx>
                <c:rich>
                  <a:bodyPr/>
                  <a:lstStyle/>
                  <a:p>
                    <a:r>
                      <a:rPr lang="ru-RU"/>
                      <a:t>Жилищно-коммунальное хозяйство</a:t>
                    </a:r>
                    <a:r>
                      <a:rPr lang="en-US"/>
                      <a:t>;</a:t>
                    </a:r>
                    <a:r>
                      <a:rPr lang="ru-RU"/>
                      <a:t> 13,0</a:t>
                    </a:r>
                  </a:p>
                </c:rich>
              </c:tx>
              <c:showLegendKey val="1"/>
              <c:showVal val="1"/>
              <c:showCatName val="1"/>
              <c:showSerName val="0"/>
              <c:showPercent val="0"/>
              <c:showBubbleSize val="0"/>
            </c:dLbl>
            <c:dLbl>
              <c:idx val="5"/>
              <c:layout>
                <c:manualLayout>
                  <c:x val="-7.7744852205277215E-2"/>
                  <c:y val="9.1090753785077805E-2"/>
                </c:manualLayout>
              </c:layout>
              <c:tx>
                <c:rich>
                  <a:bodyPr/>
                  <a:lstStyle/>
                  <a:p>
                    <a:r>
                      <a:rPr lang="ru-RU"/>
                      <a:t>Охрана окружающей среды; 0,1</a:t>
                    </a:r>
                  </a:p>
                </c:rich>
              </c:tx>
              <c:showLegendKey val="1"/>
              <c:showVal val="1"/>
              <c:showCatName val="1"/>
              <c:showSerName val="0"/>
              <c:showPercent val="0"/>
              <c:showBubbleSize val="0"/>
            </c:dLbl>
            <c:dLbl>
              <c:idx val="6"/>
              <c:layout>
                <c:manualLayout>
                  <c:x val="0.12175058265523378"/>
                  <c:y val="0.13433723127405611"/>
                </c:manualLayout>
              </c:layout>
              <c:tx>
                <c:rich>
                  <a:bodyPr/>
                  <a:lstStyle/>
                  <a:p>
                    <a:r>
                      <a:rPr lang="ru-RU"/>
                      <a:t>Образование; 23,8</a:t>
                    </a:r>
                  </a:p>
                </c:rich>
              </c:tx>
              <c:showLegendKey val="1"/>
              <c:showVal val="1"/>
              <c:showCatName val="1"/>
              <c:showSerName val="0"/>
              <c:showPercent val="0"/>
              <c:showBubbleSize val="0"/>
            </c:dLbl>
            <c:dLbl>
              <c:idx val="7"/>
              <c:layout>
                <c:manualLayout>
                  <c:x val="0.20860849911454724"/>
                  <c:y val="0.12768113928063901"/>
                </c:manualLayout>
              </c:layout>
              <c:tx>
                <c:rich>
                  <a:bodyPr/>
                  <a:lstStyle/>
                  <a:p>
                    <a:r>
                      <a:rPr lang="ru-RU"/>
                      <a:t>Культура, кинематография; 3,1</a:t>
                    </a:r>
                  </a:p>
                </c:rich>
              </c:tx>
              <c:showLegendKey val="1"/>
              <c:showVal val="1"/>
              <c:showCatName val="1"/>
              <c:showSerName val="0"/>
              <c:showPercent val="0"/>
              <c:showBubbleSize val="0"/>
            </c:dLbl>
            <c:dLbl>
              <c:idx val="8"/>
              <c:layout>
                <c:manualLayout>
                  <c:x val="0"/>
                  <c:y val="0.1702721748822493"/>
                </c:manualLayout>
              </c:layout>
              <c:tx>
                <c:rich>
                  <a:bodyPr/>
                  <a:lstStyle/>
                  <a:p>
                    <a:r>
                      <a:rPr lang="ru-RU"/>
                      <a:t>Здравоохранение; 5,1</a:t>
                    </a:r>
                  </a:p>
                </c:rich>
              </c:tx>
              <c:showLegendKey val="1"/>
              <c:showVal val="1"/>
              <c:showCatName val="1"/>
              <c:showSerName val="0"/>
              <c:showPercent val="0"/>
              <c:showBubbleSize val="0"/>
            </c:dLbl>
            <c:dLbl>
              <c:idx val="9"/>
              <c:layout>
                <c:manualLayout>
                  <c:x val="-3.1192448137485316E-2"/>
                  <c:y val="2.8654100421954903E-2"/>
                </c:manualLayout>
              </c:layout>
              <c:tx>
                <c:rich>
                  <a:bodyPr/>
                  <a:lstStyle/>
                  <a:p>
                    <a:r>
                      <a:rPr lang="ru-RU"/>
                      <a:t>Социальная политика; 26,4</a:t>
                    </a:r>
                  </a:p>
                </c:rich>
              </c:tx>
              <c:showLegendKey val="1"/>
              <c:showVal val="1"/>
              <c:showCatName val="1"/>
              <c:showSerName val="0"/>
              <c:showPercent val="0"/>
              <c:showBubbleSize val="0"/>
            </c:dLbl>
            <c:dLbl>
              <c:idx val="10"/>
              <c:layout>
                <c:manualLayout>
                  <c:x val="-0.1268084480094194"/>
                  <c:y val="3.6781361233955347E-2"/>
                </c:manualLayout>
              </c:layout>
              <c:showLegendKey val="1"/>
              <c:showVal val="1"/>
              <c:showCatName val="1"/>
              <c:showSerName val="0"/>
              <c:showPercent val="0"/>
              <c:showBubbleSize val="0"/>
            </c:dLbl>
            <c:dLbl>
              <c:idx val="11"/>
              <c:layout>
                <c:manualLayout>
                  <c:x val="-0.11536111724352212"/>
                  <c:y val="-0.1035801004326514"/>
                </c:manualLayout>
              </c:layout>
              <c:tx>
                <c:rich>
                  <a:bodyPr/>
                  <a:lstStyle/>
                  <a:p>
                    <a:r>
                      <a:rPr lang="ru-RU"/>
                      <a:t>Средства массовой информации; 0,2</a:t>
                    </a:r>
                  </a:p>
                </c:rich>
              </c:tx>
              <c:showLegendKey val="1"/>
              <c:showVal val="1"/>
              <c:showCatName val="1"/>
              <c:showSerName val="0"/>
              <c:showPercent val="0"/>
              <c:showBubbleSize val="0"/>
            </c:dLbl>
            <c:dLbl>
              <c:idx val="12"/>
              <c:layout>
                <c:manualLayout>
                  <c:x val="7.5481803092370459E-2"/>
                  <c:y val="-5.6499958053188554E-2"/>
                </c:manualLayout>
              </c:layout>
              <c:tx>
                <c:rich>
                  <a:bodyPr/>
                  <a:lstStyle/>
                  <a:p>
                    <a:r>
                      <a:rPr lang="ru-RU"/>
                      <a:t>Обслуживание государственного и муниципального долга; 1,7</a:t>
                    </a:r>
                  </a:p>
                </c:rich>
              </c:tx>
              <c:showLegendKey val="1"/>
              <c:showVal val="1"/>
              <c:showCatName val="1"/>
              <c:showSerName val="0"/>
              <c:showPercent val="0"/>
              <c:showBubbleSize val="0"/>
            </c:dLbl>
            <c:txPr>
              <a:bodyPr/>
              <a:lstStyle/>
              <a:p>
                <a:pPr>
                  <a:defRPr sz="1000" b="1" baseline="0">
                    <a:latin typeface="Times New Roman" pitchFamily="18" charset="0"/>
                  </a:defRPr>
                </a:pPr>
                <a:endParaRPr lang="ru-RU"/>
              </a:p>
            </c:txPr>
            <c:showLegendKey val="1"/>
            <c:showVal val="1"/>
            <c:showCatName val="1"/>
            <c:showSerName val="0"/>
            <c:showPercent val="0"/>
            <c:showBubbleSize val="0"/>
            <c:showLeaderLines val="1"/>
          </c:dLbls>
          <c:cat>
            <c:strRef>
              <c:f>Лист1!$A$2:$A$14</c:f>
              <c:strCache>
                <c:ptCount val="13"/>
                <c:pt idx="0">
                  <c:v>Общегосударственные вопросы </c:v>
                </c:pt>
                <c:pt idx="1">
                  <c:v>Национальная оборона </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 </c:v>
                </c:pt>
                <c:pt idx="6">
                  <c:v>Образование </c:v>
                </c:pt>
                <c:pt idx="7">
                  <c:v>Культура,кинематография </c:v>
                </c:pt>
                <c:pt idx="8">
                  <c:v>Здравоохранение </c:v>
                </c:pt>
                <c:pt idx="9">
                  <c:v>Социальная политика </c:v>
                </c:pt>
                <c:pt idx="10">
                  <c:v>Физическая культура и спорт</c:v>
                </c:pt>
                <c:pt idx="11">
                  <c:v>Средства массовой информации </c:v>
                </c:pt>
                <c:pt idx="12">
                  <c:v>Обслуживание государственного и муниципального долга </c:v>
                </c:pt>
              </c:strCache>
            </c:strRef>
          </c:cat>
          <c:val>
            <c:numRef>
              <c:f>Лист1!$B$2:$B$14</c:f>
              <c:numCache>
                <c:formatCode>General</c:formatCode>
                <c:ptCount val="13"/>
                <c:pt idx="0">
                  <c:v>8</c:v>
                </c:pt>
                <c:pt idx="1">
                  <c:v>0.1</c:v>
                </c:pt>
                <c:pt idx="2">
                  <c:v>1.8</c:v>
                </c:pt>
                <c:pt idx="3">
                  <c:v>16</c:v>
                </c:pt>
                <c:pt idx="4">
                  <c:v>13</c:v>
                </c:pt>
                <c:pt idx="5">
                  <c:v>0.1</c:v>
                </c:pt>
                <c:pt idx="6">
                  <c:v>23.8</c:v>
                </c:pt>
                <c:pt idx="7">
                  <c:v>3.1</c:v>
                </c:pt>
                <c:pt idx="8">
                  <c:v>5.0999999999999996</c:v>
                </c:pt>
                <c:pt idx="9">
                  <c:v>26.4</c:v>
                </c:pt>
                <c:pt idx="10">
                  <c:v>0.7</c:v>
                </c:pt>
                <c:pt idx="11">
                  <c:v>0.2</c:v>
                </c:pt>
                <c:pt idx="12">
                  <c:v>1.7</c:v>
                </c:pt>
              </c:numCache>
            </c:numRef>
          </c:val>
        </c:ser>
        <c:dLbls>
          <c:showLegendKey val="0"/>
          <c:showVal val="0"/>
          <c:showCatName val="0"/>
          <c:showSerName val="0"/>
          <c:showPercent val="0"/>
          <c:showBubbleSize val="0"/>
          <c:showLeaderLines val="1"/>
        </c:dLbls>
      </c:pie3DChart>
      <c:spPr>
        <a:noFill/>
        <a:ln w="25400">
          <a:noFill/>
        </a:ln>
        <a:scene3d>
          <a:camera prst="orthographicFront"/>
          <a:lightRig rig="threePt" dir="t"/>
        </a:scene3d>
        <a:sp3d prstMaterial="clear"/>
      </c:spPr>
    </c:plotArea>
    <c:plotVisOnly val="1"/>
    <c:dispBlanksAs val="zero"/>
    <c:showDLblsOverMax val="0"/>
  </c:chart>
  <c:spPr>
    <a:noFill/>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5175524934383207E-2"/>
          <c:y val="4.4057617797775464E-2"/>
          <c:w val="0.89854043841253561"/>
          <c:h val="0.85282089738782962"/>
        </c:manualLayout>
      </c:layout>
      <c:bar3DChart>
        <c:barDir val="col"/>
        <c:grouping val="clustered"/>
        <c:varyColors val="0"/>
        <c:ser>
          <c:idx val="0"/>
          <c:order val="0"/>
          <c:tx>
            <c:strRef>
              <c:f>Лист1!$B$1</c:f>
              <c:strCache>
                <c:ptCount val="1"/>
                <c:pt idx="0">
                  <c:v>план</c:v>
                </c:pt>
              </c:strCache>
            </c:strRef>
          </c:tx>
          <c:spPr>
            <a:solidFill>
              <a:srgbClr val="F79646"/>
            </a:solidFill>
            <a:ln w="12700">
              <a:solidFill>
                <a:sysClr val="windowText" lastClr="000000"/>
              </a:solidFill>
            </a:ln>
            <a:effectLst>
              <a:innerShdw blurRad="63500" dist="50800">
                <a:prstClr val="black">
                  <a:alpha val="50000"/>
                </a:prstClr>
              </a:innerShdw>
            </a:effectLst>
          </c:spPr>
          <c:invertIfNegative val="0"/>
          <c:dLbls>
            <c:dLbl>
              <c:idx val="0"/>
              <c:layout>
                <c:manualLayout>
                  <c:x val="3.9769099133223428E-2"/>
                  <c:y val="1.9121474858309229E-2"/>
                </c:manualLayout>
              </c:layout>
              <c:showLegendKey val="0"/>
              <c:showVal val="1"/>
              <c:showCatName val="0"/>
              <c:showSerName val="0"/>
              <c:showPercent val="0"/>
              <c:showBubbleSize val="0"/>
            </c:dLbl>
            <c:dLbl>
              <c:idx val="1"/>
              <c:layout>
                <c:manualLayout>
                  <c:x val="4.8141489004336027E-2"/>
                  <c:y val="3.1030346986790528E-2"/>
                </c:manualLayout>
              </c:layout>
              <c:showLegendKey val="0"/>
              <c:showVal val="1"/>
              <c:showCatName val="0"/>
              <c:showSerName val="0"/>
              <c:showPercent val="0"/>
              <c:showBubbleSize val="0"/>
            </c:dLbl>
            <c:dLbl>
              <c:idx val="2"/>
              <c:layout>
                <c:manualLayout>
                  <c:x val="2.9304029304029304E-2"/>
                  <c:y val="-8.6559634591130662E-3"/>
                </c:manualLayout>
              </c:layout>
              <c:showLegendKey val="0"/>
              <c:showVal val="1"/>
              <c:showCatName val="0"/>
              <c:showSerName val="0"/>
              <c:showPercent val="0"/>
              <c:showBubbleSize val="0"/>
            </c:dLbl>
            <c:dLbl>
              <c:idx val="3"/>
              <c:layout>
                <c:manualLayout>
                  <c:x val="2.7202825685108265E-2"/>
                  <c:y val="9.3808995012241818E-3"/>
                </c:manualLayout>
              </c:layout>
              <c:showLegendKey val="0"/>
              <c:showVal val="1"/>
              <c:showCatName val="0"/>
              <c:showSerName val="0"/>
              <c:showPercent val="0"/>
              <c:showBubbleSize val="0"/>
            </c:dLbl>
            <c:dLbl>
              <c:idx val="4"/>
              <c:layout>
                <c:manualLayout>
                  <c:x val="3.7676609105180531E-2"/>
                  <c:y val="1.2628762313801684E-2"/>
                </c:manualLayout>
              </c:layout>
              <c:showLegendKey val="0"/>
              <c:showVal val="1"/>
              <c:showCatName val="0"/>
              <c:showSerName val="0"/>
              <c:showPercent val="0"/>
              <c:showBubbleSize val="0"/>
            </c:dLbl>
            <c:dLbl>
              <c:idx val="5"/>
              <c:layout>
                <c:manualLayout>
                  <c:x val="6.2795726148314954E-2"/>
                  <c:y val="6.096527269139283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-9042</c:v>
                </c:pt>
                <c:pt idx="1">
                  <c:v>-12037.6</c:v>
                </c:pt>
                <c:pt idx="2">
                  <c:v>-14213.7</c:v>
                </c:pt>
                <c:pt idx="3">
                  <c:v>-6921.2</c:v>
                </c:pt>
                <c:pt idx="4">
                  <c:v>-2721.9</c:v>
                </c:pt>
                <c:pt idx="5">
                  <c:v>-3000.9</c:v>
                </c:pt>
              </c:numCache>
            </c:numRef>
          </c:val>
          <c:shape val="cylinder"/>
        </c:ser>
        <c:ser>
          <c:idx val="1"/>
          <c:order val="1"/>
          <c:tx>
            <c:strRef>
              <c:f>Лист1!$C$1</c:f>
              <c:strCache>
                <c:ptCount val="1"/>
                <c:pt idx="0">
                  <c:v>отчет</c:v>
                </c:pt>
              </c:strCache>
            </c:strRef>
          </c:tx>
          <c:spPr>
            <a:solidFill>
              <a:srgbClr val="4BACC6">
                <a:lumMod val="50000"/>
              </a:srgbClr>
            </a:solidFill>
            <a:ln w="19050">
              <a:solidFill>
                <a:sysClr val="windowText" lastClr="000000"/>
              </a:solidFill>
            </a:ln>
            <a:effectLst>
              <a:innerShdw blurRad="63500" dist="50800" dir="16200000">
                <a:prstClr val="black">
                  <a:alpha val="50000"/>
                </a:prstClr>
              </a:innerShdw>
            </a:effectLst>
          </c:spPr>
          <c:invertIfNegative val="0"/>
          <c:dLbls>
            <c:dLbl>
              <c:idx val="0"/>
              <c:layout>
                <c:manualLayout>
                  <c:x val="3.053585334800183E-2"/>
                  <c:y val="1.623444796673143E-2"/>
                </c:manualLayout>
              </c:layout>
              <c:showLegendKey val="0"/>
              <c:showVal val="1"/>
              <c:showCatName val="0"/>
              <c:showSerName val="0"/>
              <c:showPercent val="0"/>
              <c:showBubbleSize val="0"/>
            </c:dLbl>
            <c:dLbl>
              <c:idx val="1"/>
              <c:layout>
                <c:manualLayout>
                  <c:x val="2.9304848021525519E-2"/>
                  <c:y val="1.4070062654416399E-2"/>
                </c:manualLayout>
              </c:layout>
              <c:showLegendKey val="0"/>
              <c:showVal val="1"/>
              <c:showCatName val="0"/>
              <c:showSerName val="0"/>
              <c:showPercent val="0"/>
              <c:showBubbleSize val="0"/>
            </c:dLbl>
            <c:dLbl>
              <c:idx val="2"/>
              <c:layout>
                <c:manualLayout>
                  <c:x val="2.9304848021525519E-2"/>
                  <c:y val="1.6236365600772452E-2"/>
                </c:manualLayout>
              </c:layout>
              <c:showLegendKey val="0"/>
              <c:showVal val="1"/>
              <c:showCatName val="0"/>
              <c:showSerName val="0"/>
              <c:showPercent val="0"/>
              <c:showBubbleSize val="0"/>
            </c:dLbl>
            <c:dLbl>
              <c:idx val="3"/>
              <c:layout>
                <c:manualLayout>
                  <c:x val="2.9206609167267472E-2"/>
                  <c:y val="1.2628700923746204E-2"/>
                </c:manualLayout>
              </c:layout>
              <c:showLegendKey val="0"/>
              <c:showVal val="1"/>
              <c:showCatName val="0"/>
              <c:showSerName val="0"/>
              <c:showPercent val="0"/>
              <c:showBubbleSize val="0"/>
            </c:dLbl>
            <c:dLbl>
              <c:idx val="4"/>
              <c:layout>
                <c:manualLayout>
                  <c:x val="5.9627628261468217E-2"/>
                  <c:y val="3.0666751676877553E-2"/>
                </c:manualLayout>
              </c:layout>
              <c:showLegendKey val="0"/>
              <c:showVal val="1"/>
              <c:showCatName val="0"/>
              <c:showSerName val="0"/>
              <c:showPercent val="0"/>
              <c:showBubbleSize val="0"/>
            </c:dLbl>
            <c:dLbl>
              <c:idx val="5"/>
              <c:layout>
                <c:manualLayout>
                  <c:x val="5.2325303370341851E-2"/>
                  <c:y val="7.684945794057308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-6570</c:v>
                </c:pt>
                <c:pt idx="1">
                  <c:v>-2813.2</c:v>
                </c:pt>
                <c:pt idx="2">
                  <c:v>-11648.9</c:v>
                </c:pt>
                <c:pt idx="3">
                  <c:v>-4277.3999999999996</c:v>
                </c:pt>
                <c:pt idx="4">
                  <c:v>3510.9</c:v>
                </c:pt>
                <c:pt idx="5">
                  <c:v>448.4</c:v>
                </c:pt>
              </c:numCache>
            </c:numRef>
          </c:val>
          <c:shape val="cylinder"/>
        </c:ser>
        <c:dLbls>
          <c:showLegendKey val="0"/>
          <c:showVal val="1"/>
          <c:showCatName val="0"/>
          <c:showSerName val="0"/>
          <c:showPercent val="0"/>
          <c:showBubbleSize val="0"/>
        </c:dLbls>
        <c:gapWidth val="150"/>
        <c:shape val="box"/>
        <c:axId val="92811648"/>
        <c:axId val="92813184"/>
        <c:axId val="0"/>
      </c:bar3DChart>
      <c:dateAx>
        <c:axId val="92811648"/>
        <c:scaling>
          <c:orientation val="minMax"/>
        </c:scaling>
        <c:delete val="0"/>
        <c:axPos val="b"/>
        <c:numFmt formatCode="General" sourceLinked="1"/>
        <c:majorTickMark val="out"/>
        <c:minorTickMark val="none"/>
        <c:tickLblPos val="low"/>
        <c:txPr>
          <a:bodyPr/>
          <a:lstStyle/>
          <a:p>
            <a:pPr>
              <a:defRPr sz="1050" b="1">
                <a:latin typeface="Times New Roman" pitchFamily="18" charset="0"/>
                <a:cs typeface="Times New Roman" pitchFamily="18" charset="0"/>
              </a:defRPr>
            </a:pPr>
            <a:endParaRPr lang="ru-RU"/>
          </a:p>
        </c:txPr>
        <c:crossAx val="92813184"/>
        <c:crosses val="autoZero"/>
        <c:auto val="0"/>
        <c:lblOffset val="100"/>
        <c:baseTimeUnit val="days"/>
      </c:dateAx>
      <c:valAx>
        <c:axId val="92813184"/>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92811648"/>
        <c:crosses val="autoZero"/>
        <c:crossBetween val="between"/>
      </c:valAx>
      <c:spPr>
        <a:noFill/>
        <a:ln>
          <a:noFill/>
        </a:ln>
        <a:effectLst>
          <a:glow rad="127000">
            <a:srgbClr val="4BACC6">
              <a:lumMod val="40000"/>
              <a:lumOff val="60000"/>
            </a:srgbClr>
          </a:glow>
        </a:effectLst>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solidFill>
          <a:srgbClr val="4F81BD">
            <a:lumMod val="20000"/>
            <a:lumOff val="80000"/>
          </a:srgbClr>
        </a:solidFill>
      </c:spPr>
    </c:sideWall>
    <c:backWall>
      <c:thickness val="0"/>
      <c:spPr>
        <a:solidFill>
          <a:srgbClr val="4F81BD">
            <a:lumMod val="20000"/>
            <a:lumOff val="80000"/>
          </a:srgbClr>
        </a:solidFill>
      </c:spPr>
    </c:backWall>
    <c:plotArea>
      <c:layout>
        <c:manualLayout>
          <c:layoutTarget val="inner"/>
          <c:xMode val="edge"/>
          <c:yMode val="edge"/>
          <c:x val="8.2753623188405803E-2"/>
          <c:y val="1.6208551620290512E-2"/>
          <c:w val="0.90960776642050201"/>
          <c:h val="0.81669791276090486"/>
        </c:manualLayout>
      </c:layout>
      <c:bar3DChart>
        <c:barDir val="col"/>
        <c:grouping val="clustered"/>
        <c:varyColors val="0"/>
        <c:ser>
          <c:idx val="0"/>
          <c:order val="0"/>
          <c:tx>
            <c:strRef>
              <c:f>Лист1!$B$1</c:f>
              <c:strCache>
                <c:ptCount val="1"/>
                <c:pt idx="0">
                  <c:v>Доходы, всего</c:v>
                </c:pt>
              </c:strCache>
            </c:strRef>
          </c:tx>
          <c:spPr>
            <a:solidFill>
              <a:srgbClr val="F79646">
                <a:lumMod val="50000"/>
              </a:srgbClr>
            </a:solidFill>
            <a:ln w="12700">
              <a:solidFill>
                <a:sysClr val="windowText" lastClr="000000"/>
              </a:solidFill>
            </a:ln>
          </c:spPr>
          <c:invertIfNegative val="0"/>
          <c:dLbls>
            <c:dLbl>
              <c:idx val="0"/>
              <c:layout>
                <c:manualLayout>
                  <c:x val="1.8688294293383003E-2"/>
                  <c:y val="9.0691310582271534E-3"/>
                </c:manualLayout>
              </c:layout>
              <c:showLegendKey val="0"/>
              <c:showVal val="1"/>
              <c:showCatName val="0"/>
              <c:showSerName val="0"/>
              <c:showPercent val="0"/>
              <c:showBubbleSize val="0"/>
            </c:dLbl>
            <c:dLbl>
              <c:idx val="1"/>
              <c:layout>
                <c:manualLayout>
                  <c:x val="4.152954287418445E-2"/>
                  <c:y val="0"/>
                </c:manualLayout>
              </c:layout>
              <c:showLegendKey val="0"/>
              <c:showVal val="1"/>
              <c:showCatName val="0"/>
              <c:showSerName val="0"/>
              <c:showPercent val="0"/>
              <c:showBubbleSize val="0"/>
            </c:dLbl>
            <c:dLbl>
              <c:idx val="4"/>
              <c:layout>
                <c:manualLayout>
                  <c:x val="5.3988242234302486E-2"/>
                  <c:y val="1.2092174744302872E-2"/>
                </c:manualLayout>
              </c:layout>
              <c:showLegendKey val="0"/>
              <c:showVal val="1"/>
              <c:showCatName val="0"/>
              <c:showSerName val="0"/>
              <c:showPercent val="0"/>
              <c:showBubbleSize val="0"/>
            </c:dLbl>
            <c:dLbl>
              <c:idx val="5"/>
              <c:layout>
                <c:manualLayout>
                  <c:x val="5.1911928592730562E-2"/>
                  <c:y val="9.0691310582271811E-3"/>
                </c:manualLayout>
              </c:layout>
              <c:showLegendKey val="0"/>
              <c:showVal val="1"/>
              <c:showCatName val="0"/>
              <c:showSerName val="0"/>
              <c:showPercent val="0"/>
              <c:showBubbleSize val="0"/>
            </c:dLbl>
            <c:dLbl>
              <c:idx val="6"/>
              <c:layout>
                <c:manualLayout>
                  <c:x val="5.6064882880149013E-2"/>
                  <c:y val="1.8138262116454279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43023.3</c:v>
                </c:pt>
                <c:pt idx="1">
                  <c:v>43982.8</c:v>
                </c:pt>
                <c:pt idx="2">
                  <c:v>66775.100000000006</c:v>
                </c:pt>
                <c:pt idx="3">
                  <c:v>45987.8</c:v>
                </c:pt>
                <c:pt idx="4">
                  <c:v>44035.5</c:v>
                </c:pt>
                <c:pt idx="5">
                  <c:v>48534.1</c:v>
                </c:pt>
                <c:pt idx="6">
                  <c:v>49062.9</c:v>
                </c:pt>
              </c:numCache>
            </c:numRef>
          </c:val>
        </c:ser>
        <c:ser>
          <c:idx val="1"/>
          <c:order val="1"/>
          <c:tx>
            <c:strRef>
              <c:f>Лист1!$C$1</c:f>
              <c:strCache>
                <c:ptCount val="1"/>
                <c:pt idx="0">
                  <c:v>Налоговые  и неналоговые доходы</c:v>
                </c:pt>
              </c:strCache>
            </c:strRef>
          </c:tx>
          <c:spPr>
            <a:solidFill>
              <a:srgbClr val="7030A0"/>
            </a:solidFill>
            <a:ln w="12700">
              <a:solidFill>
                <a:sysClr val="windowText" lastClr="000000"/>
              </a:solidFill>
            </a:ln>
          </c:spPr>
          <c:invertIfNegative val="0"/>
          <c:dLbls>
            <c:dLbl>
              <c:idx val="0"/>
              <c:layout>
                <c:manualLayout>
                  <c:x val="3.3223634299347563E-2"/>
                  <c:y val="-3.0230436860757179E-3"/>
                </c:manualLayout>
              </c:layout>
              <c:showLegendKey val="0"/>
              <c:showVal val="1"/>
              <c:showCatName val="0"/>
              <c:showSerName val="0"/>
              <c:showPercent val="0"/>
              <c:showBubbleSize val="0"/>
            </c:dLbl>
            <c:dLbl>
              <c:idx val="1"/>
              <c:layout>
                <c:manualLayout>
                  <c:x val="3.5300111443056781E-2"/>
                  <c:y val="0"/>
                </c:manualLayout>
              </c:layout>
              <c:showLegendKey val="0"/>
              <c:showVal val="1"/>
              <c:showCatName val="0"/>
              <c:showSerName val="0"/>
              <c:showPercent val="0"/>
              <c:showBubbleSize val="0"/>
            </c:dLbl>
            <c:dLbl>
              <c:idx val="3"/>
              <c:layout>
                <c:manualLayout>
                  <c:x val="3.3223634299347563E-2"/>
                  <c:y val="0"/>
                </c:manualLayout>
              </c:layout>
              <c:showLegendKey val="0"/>
              <c:showVal val="1"/>
              <c:showCatName val="0"/>
              <c:showSerName val="0"/>
              <c:showPercent val="0"/>
              <c:showBubbleSize val="0"/>
            </c:dLbl>
            <c:dLbl>
              <c:idx val="4"/>
              <c:layout>
                <c:manualLayout>
                  <c:x val="3.945290222833793E-2"/>
                  <c:y val="6.0460873721514914E-3"/>
                </c:manualLayout>
              </c:layout>
              <c:showLegendKey val="0"/>
              <c:showVal val="1"/>
              <c:showCatName val="0"/>
              <c:showSerName val="0"/>
              <c:showPercent val="0"/>
              <c:showBubbleSize val="0"/>
            </c:dLbl>
            <c:dLbl>
              <c:idx val="5"/>
              <c:layout>
                <c:manualLayout>
                  <c:x val="3.3223634299347563E-2"/>
                  <c:y val="6.0460873721514359E-3"/>
                </c:manualLayout>
              </c:layout>
              <c:showLegendKey val="0"/>
              <c:showVal val="1"/>
              <c:showCatName val="0"/>
              <c:showSerName val="0"/>
              <c:showPercent val="0"/>
              <c:showBubbleSize val="0"/>
            </c:dLbl>
            <c:dLbl>
              <c:idx val="6"/>
              <c:layout>
                <c:manualLayout>
                  <c:x val="3.9453065730475231E-2"/>
                  <c:y val="0"/>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Лист1!$C$2:$C$8</c:f>
              <c:numCache>
                <c:formatCode>General</c:formatCode>
                <c:ptCount val="7"/>
                <c:pt idx="0">
                  <c:v>23496.3</c:v>
                </c:pt>
                <c:pt idx="1">
                  <c:v>26464.400000000001</c:v>
                </c:pt>
                <c:pt idx="2">
                  <c:v>26541.1</c:v>
                </c:pt>
                <c:pt idx="3">
                  <c:v>28781.200000000001</c:v>
                </c:pt>
                <c:pt idx="4">
                  <c:v>31969.599999999999</c:v>
                </c:pt>
                <c:pt idx="5">
                  <c:v>35267.699999999997</c:v>
                </c:pt>
                <c:pt idx="6">
                  <c:v>38174.300000000003</c:v>
                </c:pt>
              </c:numCache>
            </c:numRef>
          </c:val>
        </c:ser>
        <c:ser>
          <c:idx val="2"/>
          <c:order val="2"/>
          <c:tx>
            <c:strRef>
              <c:f>Лист1!$D$1</c:f>
              <c:strCache>
                <c:ptCount val="1"/>
                <c:pt idx="0">
                  <c:v>Безвозмездные поступления</c:v>
                </c:pt>
              </c:strCache>
            </c:strRef>
          </c:tx>
          <c:spPr>
            <a:solidFill>
              <a:srgbClr val="00B0F0"/>
            </a:solidFill>
            <a:ln w="12700">
              <a:solidFill>
                <a:sysClr val="windowText" lastClr="000000"/>
              </a:solidFill>
            </a:ln>
          </c:spPr>
          <c:invertIfNegative val="0"/>
          <c:dLbls>
            <c:dLbl>
              <c:idx val="0"/>
              <c:layout>
                <c:manualLayout>
                  <c:x val="2.4917725724510672E-2"/>
                  <c:y val="9.0691310582271534E-3"/>
                </c:manualLayout>
              </c:layout>
              <c:showLegendKey val="0"/>
              <c:showVal val="1"/>
              <c:showCatName val="0"/>
              <c:showSerName val="0"/>
              <c:showPercent val="0"/>
              <c:showBubbleSize val="0"/>
            </c:dLbl>
            <c:dLbl>
              <c:idx val="1"/>
              <c:layout>
                <c:manualLayout>
                  <c:x val="2.4917725724510672E-2"/>
                  <c:y val="-6.0460873721514359E-3"/>
                </c:manualLayout>
              </c:layout>
              <c:showLegendKey val="0"/>
              <c:showVal val="1"/>
              <c:showCatName val="0"/>
              <c:showSerName val="0"/>
              <c:showPercent val="0"/>
              <c:showBubbleSize val="0"/>
            </c:dLbl>
            <c:dLbl>
              <c:idx val="3"/>
              <c:layout>
                <c:manualLayout>
                  <c:x val="2.9070680011929115E-2"/>
                  <c:y val="3.0230436860757179E-3"/>
                </c:manualLayout>
              </c:layout>
              <c:showLegendKey val="0"/>
              <c:showVal val="1"/>
              <c:showCatName val="0"/>
              <c:showSerName val="0"/>
              <c:showPercent val="0"/>
              <c:showBubbleSize val="0"/>
            </c:dLbl>
            <c:dLbl>
              <c:idx val="4"/>
              <c:layout>
                <c:manualLayout>
                  <c:x val="2.9070680011929115E-2"/>
                  <c:y val="0"/>
                </c:manualLayout>
              </c:layout>
              <c:showLegendKey val="0"/>
              <c:showVal val="1"/>
              <c:showCatName val="0"/>
              <c:showSerName val="0"/>
              <c:showPercent val="0"/>
              <c:showBubbleSize val="0"/>
            </c:dLbl>
            <c:dLbl>
              <c:idx val="5"/>
              <c:layout>
                <c:manualLayout>
                  <c:x val="2.9070680011929115E-2"/>
                  <c:y val="-6.0460873721514359E-3"/>
                </c:manualLayout>
              </c:layout>
              <c:showLegendKey val="0"/>
              <c:showVal val="1"/>
              <c:showCatName val="0"/>
              <c:showSerName val="0"/>
              <c:showPercent val="0"/>
              <c:showBubbleSize val="0"/>
            </c:dLbl>
            <c:dLbl>
              <c:idx val="6"/>
              <c:layout>
                <c:manualLayout>
                  <c:x val="3.1147157155638337E-2"/>
                  <c:y val="-6.0460873721514359E-3"/>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Лист1!$D$2:$D$8</c:f>
              <c:numCache>
                <c:formatCode>General</c:formatCode>
                <c:ptCount val="7"/>
                <c:pt idx="0">
                  <c:v>19527</c:v>
                </c:pt>
                <c:pt idx="1">
                  <c:v>17518.5</c:v>
                </c:pt>
                <c:pt idx="2">
                  <c:v>40234.1</c:v>
                </c:pt>
                <c:pt idx="3">
                  <c:v>17206.599999999999</c:v>
                </c:pt>
                <c:pt idx="4">
                  <c:v>12065.9</c:v>
                </c:pt>
                <c:pt idx="5">
                  <c:v>13266.4</c:v>
                </c:pt>
                <c:pt idx="6">
                  <c:v>10888.6</c:v>
                </c:pt>
              </c:numCache>
            </c:numRef>
          </c:val>
        </c:ser>
        <c:dLbls>
          <c:showLegendKey val="0"/>
          <c:showVal val="0"/>
          <c:showCatName val="0"/>
          <c:showSerName val="0"/>
          <c:showPercent val="0"/>
          <c:showBubbleSize val="0"/>
        </c:dLbls>
        <c:gapWidth val="150"/>
        <c:shape val="cylinder"/>
        <c:axId val="121271040"/>
        <c:axId val="121272576"/>
        <c:axId val="0"/>
      </c:bar3DChart>
      <c:catAx>
        <c:axId val="121271040"/>
        <c:scaling>
          <c:orientation val="minMax"/>
        </c:scaling>
        <c:delete val="0"/>
        <c:axPos val="b"/>
        <c:numFmt formatCode="General" sourceLinked="1"/>
        <c:majorTickMark val="out"/>
        <c:minorTickMark val="none"/>
        <c:tickLblPos val="nextTo"/>
        <c:txPr>
          <a:bodyPr/>
          <a:lstStyle/>
          <a:p>
            <a:pPr>
              <a:defRPr sz="900" b="1">
                <a:latin typeface="Times New Roman" pitchFamily="18" charset="0"/>
                <a:cs typeface="Times New Roman" pitchFamily="18" charset="0"/>
              </a:defRPr>
            </a:pPr>
            <a:endParaRPr lang="ru-RU"/>
          </a:p>
        </c:txPr>
        <c:crossAx val="121272576"/>
        <c:crosses val="autoZero"/>
        <c:auto val="1"/>
        <c:lblAlgn val="ctr"/>
        <c:lblOffset val="100"/>
        <c:noMultiLvlLbl val="0"/>
      </c:catAx>
      <c:valAx>
        <c:axId val="121272576"/>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1271040"/>
        <c:crosses val="autoZero"/>
        <c:crossBetween val="between"/>
        <c:majorUnit val="5000"/>
        <c:minorUnit val="1000"/>
      </c:valAx>
    </c:plotArea>
    <c:legend>
      <c:legendPos val="r"/>
      <c:layout>
        <c:manualLayout>
          <c:xMode val="edge"/>
          <c:yMode val="edge"/>
          <c:x val="1.7256114013785653E-2"/>
          <c:y val="0.90973152165503124"/>
          <c:w val="0.91986050809069431"/>
          <c:h val="9.0268478344968775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90"/>
      <c:rAngAx val="0"/>
      <c:perspective val="0"/>
    </c:view3D>
    <c:floor>
      <c:thickness val="0"/>
    </c:floor>
    <c:sideWall>
      <c:thickness val="0"/>
    </c:sideWall>
    <c:backWall>
      <c:thickness val="0"/>
    </c:backWall>
    <c:plotArea>
      <c:layout>
        <c:manualLayout>
          <c:layoutTarget val="inner"/>
          <c:xMode val="edge"/>
          <c:yMode val="edge"/>
          <c:x val="0.15650393700787402"/>
          <c:y val="0.33344483490876292"/>
          <c:w val="0.69572107765452817"/>
          <c:h val="0.41826923076923078"/>
        </c:manualLayout>
      </c:layout>
      <c:pie3DChart>
        <c:varyColors val="1"/>
        <c:ser>
          <c:idx val="0"/>
          <c:order val="0"/>
          <c:tx>
            <c:strRef>
              <c:f>Sheet1!$A$2</c:f>
              <c:strCache>
                <c:ptCount val="1"/>
              </c:strCache>
            </c:strRef>
          </c:tx>
          <c:spPr>
            <a:solidFill>
              <a:srgbClr val="9999FF"/>
            </a:solidFill>
            <a:ln w="15875">
              <a:solidFill>
                <a:srgbClr val="000000"/>
              </a:solidFill>
              <a:prstDash val="solid"/>
            </a:ln>
          </c:spPr>
          <c:explosion val="26"/>
          <c:dPt>
            <c:idx val="0"/>
            <c:bubble3D val="0"/>
            <c:spPr>
              <a:solidFill>
                <a:srgbClr val="00B0F0"/>
              </a:solidFill>
              <a:ln w="15875">
                <a:solidFill>
                  <a:srgbClr val="000000"/>
                </a:solidFill>
                <a:prstDash val="solid"/>
              </a:ln>
            </c:spPr>
          </c:dPt>
          <c:dPt>
            <c:idx val="1"/>
            <c:bubble3D val="0"/>
            <c:spPr>
              <a:solidFill>
                <a:srgbClr val="CC99FF"/>
              </a:solidFill>
              <a:ln w="15875">
                <a:solidFill>
                  <a:srgbClr val="000000"/>
                </a:solidFill>
                <a:prstDash val="solid"/>
              </a:ln>
            </c:spPr>
          </c:dPt>
          <c:dPt>
            <c:idx val="2"/>
            <c:bubble3D val="0"/>
            <c:spPr>
              <a:solidFill>
                <a:srgbClr val="FFCC99"/>
              </a:solidFill>
              <a:ln w="15875">
                <a:solidFill>
                  <a:srgbClr val="000000"/>
                </a:solidFill>
                <a:prstDash val="solid"/>
              </a:ln>
            </c:spPr>
          </c:dPt>
          <c:dPt>
            <c:idx val="3"/>
            <c:bubble3D val="0"/>
            <c:spPr>
              <a:solidFill>
                <a:srgbClr val="FFFF00"/>
              </a:solidFill>
              <a:ln w="15875">
                <a:solidFill>
                  <a:srgbClr val="000000"/>
                </a:solidFill>
                <a:prstDash val="solid"/>
              </a:ln>
            </c:spPr>
          </c:dPt>
          <c:dPt>
            <c:idx val="4"/>
            <c:bubble3D val="0"/>
            <c:spPr>
              <a:solidFill>
                <a:srgbClr val="660066"/>
              </a:solidFill>
              <a:ln w="15875">
                <a:solidFill>
                  <a:srgbClr val="000000"/>
                </a:solidFill>
                <a:prstDash val="solid"/>
              </a:ln>
            </c:spPr>
          </c:dPt>
          <c:dPt>
            <c:idx val="5"/>
            <c:bubble3D val="0"/>
            <c:spPr>
              <a:solidFill>
                <a:srgbClr val="FF8080"/>
              </a:solidFill>
              <a:ln w="15875">
                <a:solidFill>
                  <a:srgbClr val="000000"/>
                </a:solidFill>
                <a:prstDash val="solid"/>
              </a:ln>
            </c:spPr>
          </c:dPt>
          <c:dPt>
            <c:idx val="6"/>
            <c:bubble3D val="0"/>
            <c:spPr>
              <a:solidFill>
                <a:srgbClr val="0066CC"/>
              </a:solidFill>
              <a:ln w="15875">
                <a:solidFill>
                  <a:srgbClr val="000000"/>
                </a:solidFill>
                <a:prstDash val="solid"/>
              </a:ln>
            </c:spPr>
          </c:dPt>
          <c:dPt>
            <c:idx val="7"/>
            <c:bubble3D val="0"/>
            <c:spPr>
              <a:solidFill>
                <a:srgbClr val="F79646">
                  <a:lumMod val="50000"/>
                </a:srgbClr>
              </a:solidFill>
              <a:ln w="15875">
                <a:solidFill>
                  <a:srgbClr val="000000"/>
                </a:solidFill>
                <a:prstDash val="solid"/>
              </a:ln>
            </c:spPr>
          </c:dPt>
          <c:dPt>
            <c:idx val="8"/>
            <c:bubble3D val="0"/>
            <c:spPr>
              <a:solidFill>
                <a:srgbClr val="000080"/>
              </a:solidFill>
              <a:ln w="15875">
                <a:solidFill>
                  <a:srgbClr val="000000"/>
                </a:solidFill>
                <a:prstDash val="solid"/>
              </a:ln>
            </c:spPr>
          </c:dPt>
          <c:dLbls>
            <c:dLbl>
              <c:idx val="0"/>
              <c:layout>
                <c:manualLayout>
                  <c:x val="-8.4814828768413536E-2"/>
                  <c:y val="2.839591332075226E-2"/>
                </c:manualLayout>
              </c:layout>
              <c:dLblPos val="bestFit"/>
              <c:showLegendKey val="1"/>
              <c:showVal val="1"/>
              <c:showCatName val="1"/>
              <c:showSerName val="0"/>
              <c:showPercent val="0"/>
              <c:showBubbleSize val="0"/>
            </c:dLbl>
            <c:dLbl>
              <c:idx val="1"/>
              <c:layout>
                <c:manualLayout>
                  <c:x val="-2.9154202614625323E-2"/>
                  <c:y val="-3.2536098276971577E-2"/>
                </c:manualLayout>
              </c:layout>
              <c:tx>
                <c:rich>
                  <a:bodyPr/>
                  <a:lstStyle/>
                  <a:p>
                    <a:r>
                      <a:rPr lang="ru-RU"/>
                      <a:t>Налог на доходы физических лиц; 24,3</a:t>
                    </a:r>
                  </a:p>
                </c:rich>
              </c:tx>
              <c:dLblPos val="bestFit"/>
              <c:showLegendKey val="1"/>
              <c:showVal val="1"/>
              <c:showCatName val="0"/>
              <c:showSerName val="0"/>
              <c:showPercent val="0"/>
              <c:showBubbleSize val="0"/>
            </c:dLbl>
            <c:dLbl>
              <c:idx val="2"/>
              <c:layout>
                <c:manualLayout>
                  <c:x val="-0.13357078565817887"/>
                  <c:y val="-3.2774994854289641E-2"/>
                </c:manualLayout>
              </c:layout>
              <c:tx>
                <c:rich>
                  <a:bodyPr/>
                  <a:lstStyle/>
                  <a:p>
                    <a:r>
                      <a:rPr lang="ru-RU"/>
                      <a:t>Акцизы; 4,5</a:t>
                    </a:r>
                  </a:p>
                </c:rich>
              </c:tx>
              <c:dLblPos val="bestFit"/>
              <c:showLegendKey val="1"/>
              <c:showVal val="1"/>
              <c:showCatName val="0"/>
              <c:showSerName val="0"/>
              <c:showPercent val="0"/>
              <c:showBubbleSize val="0"/>
            </c:dLbl>
            <c:dLbl>
              <c:idx val="3"/>
              <c:layout>
                <c:manualLayout>
                  <c:x val="-0.33957075939670223"/>
                  <c:y val="-0.13146179041669379"/>
                </c:manualLayout>
              </c:layout>
              <c:dLblPos val="bestFit"/>
              <c:showLegendKey val="1"/>
              <c:showVal val="1"/>
              <c:showCatName val="1"/>
              <c:showSerName val="0"/>
              <c:showPercent val="0"/>
              <c:showBubbleSize val="0"/>
            </c:dLbl>
            <c:dLbl>
              <c:idx val="4"/>
              <c:layout>
                <c:manualLayout>
                  <c:x val="-0.22116779397899666"/>
                  <c:y val="-0.21836563820357127"/>
                </c:manualLayout>
              </c:layout>
              <c:dLblPos val="bestFit"/>
              <c:showLegendKey val="1"/>
              <c:showVal val="1"/>
              <c:showCatName val="1"/>
              <c:showSerName val="0"/>
              <c:showPercent val="0"/>
              <c:showBubbleSize val="0"/>
            </c:dLbl>
            <c:dLbl>
              <c:idx val="5"/>
              <c:layout>
                <c:manualLayout>
                  <c:x val="1.6916551678965618E-2"/>
                  <c:y val="-4.3847522774104475E-2"/>
                </c:manualLayout>
              </c:layout>
              <c:dLblPos val="bestFit"/>
              <c:showLegendKey val="1"/>
              <c:showVal val="1"/>
              <c:showCatName val="1"/>
              <c:showSerName val="0"/>
              <c:showPercent val="0"/>
              <c:showBubbleSize val="0"/>
            </c:dLbl>
            <c:dLbl>
              <c:idx val="6"/>
              <c:layout>
                <c:manualLayout>
                  <c:x val="-8.0818162483693182E-2"/>
                  <c:y val="-0.32914047515654193"/>
                </c:manualLayout>
              </c:layout>
              <c:dLblPos val="bestFit"/>
              <c:showLegendKey val="1"/>
              <c:showVal val="1"/>
              <c:showCatName val="1"/>
              <c:showSerName val="0"/>
              <c:showPercent val="0"/>
              <c:showBubbleSize val="0"/>
            </c:dLbl>
            <c:dLbl>
              <c:idx val="7"/>
              <c:layout>
                <c:manualLayout>
                  <c:x val="8.5134732863621759E-3"/>
                  <c:y val="-4.1806872818854805E-2"/>
                </c:manualLayout>
              </c:layout>
              <c:tx>
                <c:rich>
                  <a:bodyPr/>
                  <a:lstStyle/>
                  <a:p>
                    <a:r>
                      <a:rPr lang="ru-RU"/>
                      <a:t>Госпошлина</a:t>
                    </a:r>
                    <a:r>
                      <a:rPr lang="en-US"/>
                      <a:t>;</a:t>
                    </a:r>
                    <a:r>
                      <a:rPr lang="ru-RU"/>
                      <a:t> 0,3</a:t>
                    </a:r>
                  </a:p>
                </c:rich>
              </c:tx>
              <c:dLblPos val="bestFit"/>
              <c:showLegendKey val="1"/>
              <c:showVal val="1"/>
              <c:showCatName val="1"/>
              <c:showSerName val="0"/>
              <c:showPercent val="0"/>
              <c:showBubbleSize val="0"/>
            </c:dLbl>
            <c:dLbl>
              <c:idx val="8"/>
              <c:layout>
                <c:manualLayout>
                  <c:x val="-1.2109997102871507E-2"/>
                  <c:y val="0.24011092806849044"/>
                </c:manualLayout>
              </c:layout>
              <c:tx>
                <c:rich>
                  <a:bodyPr/>
                  <a:lstStyle/>
                  <a:p>
                    <a:r>
                      <a:rPr lang="ru-RU"/>
                      <a:t>Неналоговые доходы</a:t>
                    </a:r>
                    <a:r>
                      <a:rPr lang="en-US"/>
                      <a:t>;</a:t>
                    </a:r>
                    <a:r>
                      <a:rPr lang="ru-RU"/>
                      <a:t> 3</a:t>
                    </a:r>
                    <a:r>
                      <a:rPr lang="en-US"/>
                      <a:t>,</a:t>
                    </a:r>
                    <a:r>
                      <a:rPr lang="ru-RU"/>
                      <a:t>4</a:t>
                    </a:r>
                    <a:endParaRPr lang="en-US"/>
                  </a:p>
                </c:rich>
              </c:tx>
              <c:showLegendKey val="0"/>
              <c:showVal val="1"/>
              <c:showCatName val="0"/>
              <c:showSerName val="0"/>
              <c:showPercent val="0"/>
              <c:showBubbleSize val="0"/>
            </c:dLbl>
            <c:dLbl>
              <c:idx val="9"/>
              <c:layout>
                <c:manualLayout>
                  <c:x val="-0.14196502949093093"/>
                  <c:y val="0.18871347693108609"/>
                </c:manualLayout>
              </c:layout>
              <c:tx>
                <c:rich>
                  <a:bodyPr/>
                  <a:lstStyle/>
                  <a:p>
                    <a:r>
                      <a:rPr lang="ru-RU"/>
                      <a:t>Безвозмездные поступления; 22,2</a:t>
                    </a:r>
                  </a:p>
                </c:rich>
              </c:tx>
              <c:dLblPos val="bestFit"/>
              <c:showLegendKey val="1"/>
              <c:showVal val="1"/>
              <c:showCatName val="0"/>
              <c:showSerName val="0"/>
              <c:showPercent val="0"/>
              <c:showBubbleSize val="0"/>
            </c:dLbl>
            <c:dLbl>
              <c:idx val="12"/>
              <c:spPr>
                <a:noFill/>
                <a:ln w="25341">
                  <a:noFill/>
                </a:ln>
              </c:spPr>
              <c:txPr>
                <a:bodyPr/>
                <a:lstStyle/>
                <a:p>
                  <a:pPr>
                    <a:defRPr sz="1821" b="1" i="0" u="none" strike="noStrike" baseline="0">
                      <a:solidFill>
                        <a:srgbClr val="000000"/>
                      </a:solidFill>
                      <a:latin typeface="Arial Cyr"/>
                      <a:ea typeface="Arial Cyr"/>
                      <a:cs typeface="Arial Cyr"/>
                    </a:defRPr>
                  </a:pPr>
                  <a:endParaRPr lang="ru-RU"/>
                </a:p>
              </c:txPr>
              <c:showLegendKey val="1"/>
              <c:showVal val="1"/>
              <c:showCatName val="1"/>
              <c:showSerName val="0"/>
              <c:showPercent val="0"/>
              <c:showBubbleSize val="0"/>
            </c:dLbl>
            <c:spPr>
              <a:solidFill>
                <a:srgbClr val="FFFFFF"/>
              </a:solidFill>
              <a:ln w="3168">
                <a:solidFill>
                  <a:srgbClr val="000000"/>
                </a:solidFill>
                <a:prstDash val="solid"/>
              </a:ln>
              <a:effectLst>
                <a:outerShdw dist="35921" dir="2700000" algn="br">
                  <a:srgbClr val="000000"/>
                </a:outerShdw>
              </a:effectLst>
            </c:spPr>
            <c:txPr>
              <a:bodyPr/>
              <a:lstStyle/>
              <a:p>
                <a:pPr>
                  <a:defRPr sz="898"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0"/>
            <c:showBubbleSize val="0"/>
            <c:showLeaderLines val="1"/>
          </c:dLbls>
          <c:cat>
            <c:strRef>
              <c:f>Sheet1!$B$1:$K$1</c:f>
              <c:strCache>
                <c:ptCount val="10"/>
                <c:pt idx="0">
                  <c:v>Налог на прибыль организаций</c:v>
                </c:pt>
                <c:pt idx="1">
                  <c:v>Налог на доходы физических лиц</c:v>
                </c:pt>
                <c:pt idx="2">
                  <c:v>Акцизы</c:v>
                </c:pt>
                <c:pt idx="3">
                  <c:v>Налоги на совокупный доход</c:v>
                </c:pt>
                <c:pt idx="4">
                  <c:v>Налог на имущество организаций</c:v>
                </c:pt>
                <c:pt idx="5">
                  <c:v>Транспортный налог</c:v>
                </c:pt>
                <c:pt idx="6">
                  <c:v>Налог на добычу полезных ископаемых</c:v>
                </c:pt>
                <c:pt idx="7">
                  <c:v>Государственная пошлина </c:v>
                </c:pt>
                <c:pt idx="8">
                  <c:v>Неналоговые доходы</c:v>
                </c:pt>
                <c:pt idx="9">
                  <c:v>Безвозмездные поступления </c:v>
                </c:pt>
              </c:strCache>
            </c:strRef>
          </c:cat>
          <c:val>
            <c:numRef>
              <c:f>Sheet1!$B$2:$K$2</c:f>
              <c:numCache>
                <c:formatCode>General</c:formatCode>
                <c:ptCount val="10"/>
                <c:pt idx="0">
                  <c:v>21.5</c:v>
                </c:pt>
                <c:pt idx="1">
                  <c:v>24.3</c:v>
                </c:pt>
                <c:pt idx="2">
                  <c:v>4.5</c:v>
                </c:pt>
                <c:pt idx="3" formatCode="0.0">
                  <c:v>3.5</c:v>
                </c:pt>
                <c:pt idx="4" formatCode="0.0">
                  <c:v>15.1</c:v>
                </c:pt>
                <c:pt idx="5" formatCode="0.0">
                  <c:v>2</c:v>
                </c:pt>
                <c:pt idx="6">
                  <c:v>3.2</c:v>
                </c:pt>
                <c:pt idx="7">
                  <c:v>0.3</c:v>
                </c:pt>
                <c:pt idx="8">
                  <c:v>3.4</c:v>
                </c:pt>
                <c:pt idx="9">
                  <c:v>22.2</c:v>
                </c:pt>
              </c:numCache>
            </c:numRef>
          </c:val>
        </c:ser>
        <c:dLbls>
          <c:showLegendKey val="0"/>
          <c:showVal val="1"/>
          <c:showCatName val="1"/>
          <c:showSerName val="0"/>
          <c:showPercent val="0"/>
          <c:showBubbleSize val="0"/>
          <c:showLeaderLines val="1"/>
        </c:dLbls>
      </c:pie3DChart>
      <c:spPr>
        <a:gradFill rotWithShape="0">
          <a:gsLst>
            <a:gs pos="0">
              <a:srgbClr val="800000"/>
            </a:gs>
            <a:gs pos="100000">
              <a:srgbClr val="800000">
                <a:gamma/>
                <a:tint val="0"/>
                <a:invGamma/>
              </a:srgbClr>
            </a:gs>
          </a:gsLst>
          <a:path path="rect">
            <a:fillToRect l="50000" t="50000" r="50000" b="50000"/>
          </a:path>
        </a:gradFill>
        <a:ln w="12670">
          <a:noFill/>
          <a:prstDash val="solid"/>
        </a:ln>
      </c:spPr>
    </c:plotArea>
    <c:plotVisOnly val="1"/>
    <c:dispBlanksAs val="zero"/>
    <c:showDLblsOverMax val="0"/>
  </c:chart>
  <c:spPr>
    <a:noFill/>
    <a:ln w="25341">
      <a:noFill/>
      <a:prstDash val="solid"/>
    </a:ln>
    <a:effectLst/>
  </c:spPr>
  <c:txPr>
    <a:bodyPr/>
    <a:lstStyle/>
    <a:p>
      <a:pPr>
        <a:defRPr sz="18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6">
            <a:lumMod val="20000"/>
            <a:lumOff val="80000"/>
          </a:schemeClr>
        </a:solidFill>
      </c:spPr>
    </c:floor>
    <c:sideWall>
      <c:thickness val="0"/>
      <c:spPr>
        <a:gradFill flip="none" rotWithShape="1">
          <a:gsLst>
            <a:gs pos="0">
              <a:schemeClr val="accent1">
                <a:lumMod val="20000"/>
                <a:lumOff val="80000"/>
              </a:schemeClr>
            </a:gs>
            <a:gs pos="50000">
              <a:srgbClr val="FFFF00">
                <a:tint val="44500"/>
                <a:satMod val="160000"/>
              </a:srgbClr>
            </a:gs>
            <a:gs pos="100000">
              <a:srgbClr val="FFFF00">
                <a:tint val="23500"/>
                <a:satMod val="160000"/>
              </a:srgbClr>
            </a:gs>
          </a:gsLst>
          <a:lin ang="10800000" scaled="1"/>
          <a:tileRect/>
        </a:gradFill>
      </c:spPr>
    </c:sideWall>
    <c:backWall>
      <c:thickness val="0"/>
      <c:spPr>
        <a:gradFill flip="none" rotWithShape="1">
          <a:gsLst>
            <a:gs pos="0">
              <a:schemeClr val="accent1">
                <a:lumMod val="20000"/>
                <a:lumOff val="80000"/>
              </a:schemeClr>
            </a:gs>
            <a:gs pos="57000">
              <a:srgbClr val="FFFF00">
                <a:tint val="44500"/>
                <a:satMod val="160000"/>
              </a:srgbClr>
            </a:gs>
            <a:gs pos="100000">
              <a:srgbClr val="FFFF00">
                <a:tint val="23500"/>
                <a:satMod val="160000"/>
              </a:srgbClr>
            </a:gs>
          </a:gsLst>
          <a:lin ang="10800000" scaled="1"/>
          <a:tileRect/>
        </a:gradFill>
      </c:spPr>
    </c:backWall>
    <c:plotArea>
      <c:layout>
        <c:manualLayout>
          <c:layoutTarget val="inner"/>
          <c:xMode val="edge"/>
          <c:yMode val="edge"/>
          <c:x val="8.2753623188405803E-2"/>
          <c:y val="1.6208551620290512E-2"/>
          <c:w val="0.90960776642050201"/>
          <c:h val="0.73808862127528174"/>
        </c:manualLayout>
      </c:layout>
      <c:bar3DChart>
        <c:barDir val="col"/>
        <c:grouping val="clustered"/>
        <c:varyColors val="0"/>
        <c:ser>
          <c:idx val="0"/>
          <c:order val="0"/>
          <c:tx>
            <c:strRef>
              <c:f>Лист1!$B$1</c:f>
              <c:strCache>
                <c:ptCount val="1"/>
                <c:pt idx="0">
                  <c:v>Столбец1</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path path="circle">
                <a:fillToRect l="50000" t="50000" r="50000" b="50000"/>
              </a:path>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Лист1!$B$2:$B$7</c:f>
              <c:numCache>
                <c:formatCode>General</c:formatCode>
                <c:ptCount val="6"/>
              </c:numCache>
            </c:numRef>
          </c:val>
        </c:ser>
        <c:ser>
          <c:idx val="1"/>
          <c:order val="1"/>
          <c:tx>
            <c:strRef>
              <c:f>Лист1!$C$1</c:f>
              <c:strCache>
                <c:ptCount val="1"/>
                <c:pt idx="0">
                  <c:v>Столбец2</c:v>
                </c:pt>
              </c:strCache>
            </c:strRef>
          </c:tx>
          <c:spPr>
            <a:gradFill flip="none" rotWithShape="1">
              <a:gsLst>
                <a:gs pos="0">
                  <a:srgbClr val="F79646">
                    <a:shade val="30000"/>
                    <a:satMod val="115000"/>
                  </a:srgbClr>
                </a:gs>
                <a:gs pos="50000">
                  <a:srgbClr val="F79646">
                    <a:shade val="67500"/>
                    <a:satMod val="115000"/>
                  </a:srgbClr>
                </a:gs>
                <a:gs pos="100000">
                  <a:srgbClr val="F79646">
                    <a:shade val="100000"/>
                    <a:satMod val="115000"/>
                  </a:srgbClr>
                </a:gs>
              </a:gsLst>
              <a:lin ang="0" scaled="1"/>
              <a:tileRect/>
            </a:gradFill>
            <a:ln w="12700">
              <a:solidFill>
                <a:sysClr val="windowText" lastClr="000000"/>
              </a:solidFill>
            </a:ln>
          </c:spPr>
          <c:invertIfNegative val="0"/>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Лист1!$C$2:$C$7</c:f>
              <c:numCache>
                <c:formatCode>General</c:formatCode>
                <c:ptCount val="6"/>
              </c:numCache>
            </c:numRef>
          </c:val>
        </c:ser>
        <c:ser>
          <c:idx val="2"/>
          <c:order val="2"/>
          <c:tx>
            <c:strRef>
              <c:f>Лист1!$D$1</c:f>
              <c:strCache>
                <c:ptCount val="1"/>
                <c:pt idx="0">
                  <c:v>2015 год</c:v>
                </c:pt>
              </c:strCache>
            </c:strRef>
          </c:tx>
          <c:spPr>
            <a:solidFill>
              <a:srgbClr val="9BBB59">
                <a:lumMod val="50000"/>
              </a:srgbClr>
            </a:solidFill>
            <a:ln w="12700">
              <a:solidFill>
                <a:sysClr val="windowText" lastClr="000000"/>
              </a:solidFill>
            </a:ln>
          </c:spPr>
          <c:invertIfNegative val="0"/>
          <c:dLbls>
            <c:dLbl>
              <c:idx val="0"/>
              <c:layout>
                <c:manualLayout>
                  <c:x val="-2.898890514057418E-2"/>
                  <c:y val="3.0168492216766556E-3"/>
                </c:manualLayout>
              </c:layout>
              <c:showLegendKey val="0"/>
              <c:showVal val="1"/>
              <c:showCatName val="0"/>
              <c:showSerName val="0"/>
              <c:showPercent val="0"/>
              <c:showBubbleSize val="0"/>
            </c:dLbl>
            <c:dLbl>
              <c:idx val="1"/>
              <c:layout>
                <c:manualLayout>
                  <c:x val="-4.1412721629391684E-2"/>
                  <c:y val="6.335383365520976E-2"/>
                </c:manualLayout>
              </c:layout>
              <c:showLegendKey val="0"/>
              <c:showVal val="1"/>
              <c:showCatName val="0"/>
              <c:showSerName val="0"/>
              <c:showPercent val="0"/>
              <c:showBubbleSize val="0"/>
            </c:dLbl>
            <c:dLbl>
              <c:idx val="2"/>
              <c:layout>
                <c:manualLayout>
                  <c:x val="-4.3483357710861266E-2"/>
                  <c:y val="1.2067396886706622E-2"/>
                </c:manualLayout>
              </c:layout>
              <c:showLegendKey val="0"/>
              <c:showVal val="1"/>
              <c:showCatName val="0"/>
              <c:showSerName val="0"/>
              <c:showPercent val="0"/>
              <c:showBubbleSize val="0"/>
            </c:dLbl>
            <c:dLbl>
              <c:idx val="3"/>
              <c:layout>
                <c:manualLayout>
                  <c:x val="-4.348335771086119E-2"/>
                  <c:y val="0"/>
                </c:manualLayout>
              </c:layout>
              <c:showLegendKey val="0"/>
              <c:showVal val="1"/>
              <c:showCatName val="0"/>
              <c:showSerName val="0"/>
              <c:showPercent val="0"/>
              <c:showBubbleSize val="0"/>
            </c:dLbl>
            <c:dLbl>
              <c:idx val="4"/>
              <c:layout>
                <c:manualLayout>
                  <c:x val="-4.1412721629391684E-2"/>
                  <c:y val="6.335383365520976E-2"/>
                </c:manualLayout>
              </c:layout>
              <c:showLegendKey val="0"/>
              <c:showVal val="1"/>
              <c:showCatName val="0"/>
              <c:showSerName val="0"/>
              <c:showPercent val="0"/>
              <c:showBubbleSize val="0"/>
            </c:dLbl>
            <c:dLbl>
              <c:idx val="5"/>
              <c:layout>
                <c:manualLayout>
                  <c:x val="-4.5553993792330855E-2"/>
                  <c:y val="6.6370682876886425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Лист1!$D$2:$D$7</c:f>
              <c:numCache>
                <c:formatCode>General</c:formatCode>
                <c:ptCount val="6"/>
                <c:pt idx="0">
                  <c:v>8120.8</c:v>
                </c:pt>
                <c:pt idx="1">
                  <c:v>10617.5</c:v>
                </c:pt>
                <c:pt idx="2">
                  <c:v>6225.3</c:v>
                </c:pt>
                <c:pt idx="3">
                  <c:v>1793.6</c:v>
                </c:pt>
                <c:pt idx="4">
                  <c:v>2159.1999999999998</c:v>
                </c:pt>
                <c:pt idx="5">
                  <c:v>1370.3</c:v>
                </c:pt>
              </c:numCache>
            </c:numRef>
          </c:val>
        </c:ser>
        <c:ser>
          <c:idx val="3"/>
          <c:order val="3"/>
          <c:tx>
            <c:strRef>
              <c:f>Лист1!$E$1</c:f>
              <c:strCache>
                <c:ptCount val="1"/>
                <c:pt idx="0">
                  <c:v>2016 год</c:v>
                </c:pt>
              </c:strCache>
            </c:strRef>
          </c:tx>
          <c:spPr>
            <a:solidFill>
              <a:srgbClr val="4BACC6">
                <a:lumMod val="60000"/>
                <a:lumOff val="40000"/>
              </a:srgbClr>
            </a:solidFill>
            <a:ln w="12700">
              <a:solidFill>
                <a:sysClr val="windowText" lastClr="000000"/>
              </a:solidFill>
            </a:ln>
          </c:spPr>
          <c:invertIfNegative val="0"/>
          <c:dLbls>
            <c:dLbl>
              <c:idx val="0"/>
              <c:layout>
                <c:manualLayout>
                  <c:x val="-4.5553993792330855E-2"/>
                  <c:y val="2.715140544790709E-2"/>
                </c:manualLayout>
              </c:layout>
              <c:showLegendKey val="0"/>
              <c:showVal val="1"/>
              <c:showCatName val="0"/>
              <c:showSerName val="0"/>
              <c:showPercent val="0"/>
              <c:showBubbleSize val="0"/>
            </c:dLbl>
            <c:dLbl>
              <c:idx val="1"/>
              <c:layout>
                <c:manualLayout>
                  <c:x val="-2.2776996896165427E-2"/>
                  <c:y val="-1.8101095330059932E-2"/>
                </c:manualLayout>
              </c:layout>
              <c:showLegendKey val="0"/>
              <c:showVal val="1"/>
              <c:showCatName val="0"/>
              <c:showSerName val="0"/>
              <c:showPercent val="0"/>
              <c:showBubbleSize val="0"/>
            </c:dLbl>
            <c:dLbl>
              <c:idx val="2"/>
              <c:layout>
                <c:manualLayout>
                  <c:x val="-3.313017730351335E-2"/>
                  <c:y val="-6.0336984433533112E-3"/>
                </c:manualLayout>
              </c:layout>
              <c:showLegendKey val="0"/>
              <c:showVal val="1"/>
              <c:showCatName val="0"/>
              <c:showSerName val="0"/>
              <c:showPercent val="0"/>
              <c:showBubbleSize val="0"/>
            </c:dLbl>
            <c:dLbl>
              <c:idx val="3"/>
              <c:layout>
                <c:manualLayout>
                  <c:x val="-1.4494452570287013E-2"/>
                  <c:y val="-3.0168492216766556E-3"/>
                </c:manualLayout>
              </c:layout>
              <c:showLegendKey val="0"/>
              <c:showVal val="1"/>
              <c:showCatName val="0"/>
              <c:showSerName val="0"/>
              <c:showPercent val="0"/>
              <c:showBubbleSize val="0"/>
            </c:dLbl>
            <c:dLbl>
              <c:idx val="4"/>
              <c:layout>
                <c:manualLayout>
                  <c:x val="2.4847632977635009E-2"/>
                  <c:y val="-9.0505476650299659E-3"/>
                </c:manualLayout>
              </c:layout>
              <c:showLegendKey val="0"/>
              <c:showVal val="1"/>
              <c:showCatName val="0"/>
              <c:showSerName val="0"/>
              <c:showPercent val="0"/>
              <c:showBubbleSize val="0"/>
            </c:dLbl>
            <c:dLbl>
              <c:idx val="5"/>
              <c:layout>
                <c:manualLayout>
                  <c:x val="-1.0353180407347921E-2"/>
                  <c:y val="0"/>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Лист1!$E$2:$E$7</c:f>
              <c:numCache>
                <c:formatCode>General</c:formatCode>
                <c:ptCount val="6"/>
                <c:pt idx="0">
                  <c:v>9970.9</c:v>
                </c:pt>
                <c:pt idx="1">
                  <c:v>10520.2</c:v>
                </c:pt>
                <c:pt idx="2">
                  <c:v>6585.6</c:v>
                </c:pt>
                <c:pt idx="3">
                  <c:v>2738</c:v>
                </c:pt>
                <c:pt idx="4">
                  <c:v>1823.1</c:v>
                </c:pt>
                <c:pt idx="5">
                  <c:v>1438.7</c:v>
                </c:pt>
              </c:numCache>
            </c:numRef>
          </c:val>
        </c:ser>
        <c:ser>
          <c:idx val="4"/>
          <c:order val="4"/>
          <c:tx>
            <c:strRef>
              <c:f>Лист1!$F$1</c:f>
              <c:strCache>
                <c:ptCount val="1"/>
                <c:pt idx="0">
                  <c:v>2017 год</c:v>
                </c:pt>
              </c:strCache>
            </c:strRef>
          </c:tx>
          <c:spPr>
            <a:solidFill>
              <a:srgbClr val="8064A2">
                <a:lumMod val="75000"/>
              </a:srgbClr>
            </a:solidFill>
            <a:ln w="12700">
              <a:solidFill>
                <a:sysClr val="windowText" lastClr="000000"/>
              </a:solidFill>
            </a:ln>
          </c:spPr>
          <c:invertIfNegative val="0"/>
          <c:dLbls>
            <c:dLbl>
              <c:idx val="1"/>
              <c:layout>
                <c:manualLayout>
                  <c:x val="5.7977810281148359E-2"/>
                  <c:y val="2.71516429950899E-2"/>
                </c:manualLayout>
              </c:layout>
              <c:showLegendKey val="0"/>
              <c:showVal val="1"/>
              <c:showCatName val="0"/>
              <c:showSerName val="0"/>
              <c:showPercent val="0"/>
              <c:showBubbleSize val="0"/>
            </c:dLbl>
            <c:dLbl>
              <c:idx val="3"/>
              <c:layout>
                <c:manualLayout>
                  <c:x val="2.898890514057418E-2"/>
                  <c:y val="-9.0505476650299659E-3"/>
                </c:manualLayout>
              </c:layout>
              <c:showLegendKey val="0"/>
              <c:showVal val="1"/>
              <c:showCatName val="0"/>
              <c:showSerName val="0"/>
              <c:showPercent val="0"/>
              <c:showBubbleSize val="0"/>
            </c:dLbl>
            <c:dLbl>
              <c:idx val="4"/>
              <c:layout>
                <c:manualLayout>
                  <c:x val="2.898890514057418E-2"/>
                  <c:y val="1.2067396886706622E-2"/>
                </c:manualLayout>
              </c:layout>
              <c:showLegendKey val="0"/>
              <c:showVal val="1"/>
              <c:showCatName val="0"/>
              <c:showSerName val="0"/>
              <c:showPercent val="0"/>
              <c:showBubbleSize val="0"/>
            </c:dLbl>
            <c:dLbl>
              <c:idx val="5"/>
              <c:layout>
                <c:manualLayout>
                  <c:x val="3.5200813384982932E-2"/>
                  <c:y val="1.5084246108383277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Налог на прибыль организаций </c:v>
                </c:pt>
                <c:pt idx="1">
                  <c:v>Налог на доходы физических лиц</c:v>
                </c:pt>
                <c:pt idx="2">
                  <c:v>Налог на имущество организаций </c:v>
                </c:pt>
                <c:pt idx="3">
                  <c:v>Акцизы </c:v>
                </c:pt>
                <c:pt idx="4">
                  <c:v>Налог на добычу полезных ископаемых</c:v>
                </c:pt>
                <c:pt idx="5">
                  <c:v>Налоги на совокупный доход </c:v>
                </c:pt>
              </c:strCache>
            </c:strRef>
          </c:cat>
          <c:val>
            <c:numRef>
              <c:f>Лист1!$F$2:$F$7</c:f>
              <c:numCache>
                <c:formatCode>General</c:formatCode>
                <c:ptCount val="6"/>
                <c:pt idx="0">
                  <c:v>10540.8</c:v>
                </c:pt>
                <c:pt idx="1">
                  <c:v>11934.2</c:v>
                </c:pt>
                <c:pt idx="2">
                  <c:v>7431.8</c:v>
                </c:pt>
                <c:pt idx="3">
                  <c:v>2224.1999999999998</c:v>
                </c:pt>
                <c:pt idx="4">
                  <c:v>1586.1</c:v>
                </c:pt>
                <c:pt idx="5">
                  <c:v>1691</c:v>
                </c:pt>
              </c:numCache>
            </c:numRef>
          </c:val>
        </c:ser>
        <c:dLbls>
          <c:showLegendKey val="0"/>
          <c:showVal val="0"/>
          <c:showCatName val="0"/>
          <c:showSerName val="0"/>
          <c:showPercent val="0"/>
          <c:showBubbleSize val="0"/>
        </c:dLbls>
        <c:gapWidth val="150"/>
        <c:shape val="box"/>
        <c:axId val="121447552"/>
        <c:axId val="121449088"/>
        <c:axId val="0"/>
      </c:bar3DChart>
      <c:catAx>
        <c:axId val="121447552"/>
        <c:scaling>
          <c:orientation val="minMax"/>
        </c:scaling>
        <c:delete val="0"/>
        <c:axPos val="b"/>
        <c:majorTickMark val="out"/>
        <c:minorTickMark val="none"/>
        <c:tickLblPos val="nextTo"/>
        <c:txPr>
          <a:bodyPr/>
          <a:lstStyle/>
          <a:p>
            <a:pPr>
              <a:defRPr sz="900" b="1">
                <a:latin typeface="Times New Roman" pitchFamily="18" charset="0"/>
                <a:cs typeface="Times New Roman" pitchFamily="18" charset="0"/>
              </a:defRPr>
            </a:pPr>
            <a:endParaRPr lang="ru-RU"/>
          </a:p>
        </c:txPr>
        <c:crossAx val="121449088"/>
        <c:crosses val="autoZero"/>
        <c:auto val="1"/>
        <c:lblAlgn val="ctr"/>
        <c:lblOffset val="100"/>
        <c:noMultiLvlLbl val="0"/>
      </c:catAx>
      <c:valAx>
        <c:axId val="121449088"/>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21447552"/>
        <c:crosses val="autoZero"/>
        <c:crossBetween val="between"/>
      </c:valAx>
    </c:plotArea>
    <c:legend>
      <c:legendPos val="r"/>
      <c:legendEntry>
        <c:idx val="0"/>
        <c:delete val="1"/>
      </c:legendEntry>
      <c:legendEntry>
        <c:idx val="1"/>
        <c:delete val="1"/>
      </c:legendEntry>
      <c:layout>
        <c:manualLayout>
          <c:xMode val="edge"/>
          <c:yMode val="edge"/>
          <c:x val="2.6509838444107529E-2"/>
          <c:y val="0.92787211553306981"/>
          <c:w val="0.92743401640012391"/>
          <c:h val="5.7129012719563894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0"/>
      <c:rAngAx val="0"/>
      <c:perspective val="10"/>
    </c:view3D>
    <c:floor>
      <c:thickness val="0"/>
    </c:floor>
    <c:sideWall>
      <c:thickness val="0"/>
    </c:sideWall>
    <c:backWall>
      <c:thickness val="0"/>
    </c:backWall>
    <c:plotArea>
      <c:layout>
        <c:manualLayout>
          <c:layoutTarget val="inner"/>
          <c:xMode val="edge"/>
          <c:yMode val="edge"/>
          <c:x val="5.8914538121759168E-2"/>
          <c:y val="0.13155112277631964"/>
          <c:w val="0.82317464733869472"/>
          <c:h val="0.8137616096526555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40"/>
          <c:dPt>
            <c:idx val="0"/>
            <c:bubble3D val="0"/>
            <c:spPr>
              <a:gradFill flip="none" rotWithShape="1">
                <a:gsLst>
                  <a:gs pos="0">
                    <a:srgbClr val="4F81BD">
                      <a:lumMod val="60000"/>
                      <a:lumOff val="40000"/>
                      <a:shade val="30000"/>
                      <a:satMod val="115000"/>
                    </a:srgbClr>
                  </a:gs>
                  <a:gs pos="50000">
                    <a:srgbClr val="4F81BD">
                      <a:lumMod val="60000"/>
                      <a:lumOff val="40000"/>
                      <a:shade val="67500"/>
                      <a:satMod val="115000"/>
                    </a:srgbClr>
                  </a:gs>
                  <a:gs pos="100000">
                    <a:srgbClr val="4F81BD">
                      <a:lumMod val="60000"/>
                      <a:lumOff val="40000"/>
                      <a:shade val="100000"/>
                      <a:satMod val="115000"/>
                    </a:srgbClr>
                  </a:gs>
                </a:gsLst>
                <a:lin ang="2700000" scaled="1"/>
                <a:tileRect/>
              </a:gradFill>
              <a:ln w="19050">
                <a:solidFill>
                  <a:sysClr val="windowText" lastClr="000000"/>
                </a:solidFill>
              </a:ln>
            </c:spPr>
          </c:dPt>
          <c:dPt>
            <c:idx val="1"/>
            <c:bubble3D val="0"/>
            <c:spPr>
              <a:solidFill>
                <a:srgbClr val="C00000"/>
              </a:solidFill>
              <a:ln w="19050">
                <a:solidFill>
                  <a:sysClr val="windowText" lastClr="000000"/>
                </a:solidFill>
              </a:ln>
            </c:spPr>
          </c:dPt>
          <c:dPt>
            <c:idx val="2"/>
            <c:bubble3D val="0"/>
            <c:explosion val="9"/>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19050">
                <a:solidFill>
                  <a:sysClr val="windowText" lastClr="000000"/>
                </a:solidFill>
              </a:ln>
            </c:spPr>
          </c:dPt>
          <c:dPt>
            <c:idx val="3"/>
            <c:bubble3D val="0"/>
            <c:spPr>
              <a:solidFill>
                <a:srgbClr val="7030A0"/>
              </a:solidFill>
              <a:ln w="19050">
                <a:solidFill>
                  <a:sysClr val="windowText" lastClr="000000"/>
                </a:solidFill>
              </a:ln>
            </c:spPr>
          </c:dPt>
          <c:dPt>
            <c:idx val="4"/>
            <c:bubble3D val="0"/>
            <c:spPr>
              <a:solidFill>
                <a:srgbClr val="00B050"/>
              </a:solidFill>
              <a:ln w="19050">
                <a:solidFill>
                  <a:sysClr val="windowText" lastClr="000000"/>
                </a:solidFill>
              </a:ln>
            </c:spPr>
          </c:dPt>
          <c:dPt>
            <c:idx val="5"/>
            <c:bubble3D val="0"/>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path path="circle">
                  <a:fillToRect l="50000" t="50000" r="50000" b="50000"/>
                </a:path>
                <a:tileRect/>
              </a:gradFill>
              <a:ln w="19050">
                <a:solidFill>
                  <a:sysClr val="windowText" lastClr="000000"/>
                </a:solidFill>
              </a:ln>
            </c:spPr>
          </c:dPt>
          <c:dPt>
            <c:idx val="6"/>
            <c:bubble3D val="0"/>
            <c:spPr>
              <a:solidFill>
                <a:srgbClr val="F79646">
                  <a:lumMod val="50000"/>
                </a:srgbClr>
              </a:solidFill>
              <a:ln w="19050">
                <a:solidFill>
                  <a:sysClr val="windowText" lastClr="000000"/>
                </a:solidFill>
              </a:ln>
            </c:spPr>
          </c:dPt>
          <c:dLbls>
            <c:dLbl>
              <c:idx val="0"/>
              <c:layout>
                <c:manualLayout>
                  <c:x val="6.0782351854708934E-2"/>
                  <c:y val="-2.7879135909358928E-2"/>
                </c:manualLayout>
              </c:layout>
              <c:tx>
                <c:rich>
                  <a:bodyPr/>
                  <a:lstStyle/>
                  <a:p>
                    <a:r>
                      <a:rPr lang="ru-RU"/>
                      <a:t>Доходы от использования имущества, находящегося в государственной собственности; 6,3</a:t>
                    </a:r>
                  </a:p>
                </c:rich>
              </c:tx>
              <c:showLegendKey val="0"/>
              <c:showVal val="1"/>
              <c:showCatName val="1"/>
              <c:showSerName val="0"/>
              <c:showPercent val="0"/>
              <c:showBubbleSize val="0"/>
            </c:dLbl>
            <c:dLbl>
              <c:idx val="1"/>
              <c:layout>
                <c:manualLayout>
                  <c:x val="-1.6098089112345781E-2"/>
                  <c:y val="0.2364153150866927"/>
                </c:manualLayout>
              </c:layout>
              <c:tx>
                <c:rich>
                  <a:bodyPr/>
                  <a:lstStyle/>
                  <a:p>
                    <a:r>
                      <a:rPr lang="ru-RU"/>
                      <a:t>Платежи при пользовании природными ресурсами; 14,0</a:t>
                    </a:r>
                  </a:p>
                </c:rich>
              </c:tx>
              <c:showLegendKey val="0"/>
              <c:showVal val="1"/>
              <c:showCatName val="1"/>
              <c:showSerName val="0"/>
              <c:showPercent val="0"/>
              <c:showBubbleSize val="0"/>
            </c:dLbl>
            <c:dLbl>
              <c:idx val="2"/>
              <c:layout>
                <c:manualLayout>
                  <c:x val="0.26279632119155844"/>
                  <c:y val="6.8147914843977947E-2"/>
                </c:manualLayout>
              </c:layout>
              <c:showLegendKey val="0"/>
              <c:showVal val="1"/>
              <c:showCatName val="1"/>
              <c:showSerName val="0"/>
              <c:showPercent val="0"/>
              <c:showBubbleSize val="0"/>
            </c:dLbl>
            <c:dLbl>
              <c:idx val="3"/>
              <c:layout>
                <c:manualLayout>
                  <c:x val="8.9367173612949977E-3"/>
                  <c:y val="0.13829989214727681"/>
                </c:manualLayout>
              </c:layout>
              <c:showLegendKey val="0"/>
              <c:showVal val="1"/>
              <c:showCatName val="1"/>
              <c:showSerName val="0"/>
              <c:showPercent val="0"/>
              <c:showBubbleSize val="0"/>
            </c:dLbl>
            <c:dLbl>
              <c:idx val="4"/>
              <c:layout>
                <c:manualLayout>
                  <c:x val="6.2524069654524471E-5"/>
                  <c:y val="-9.2744711857828468E-2"/>
                </c:manualLayout>
              </c:layout>
              <c:tx>
                <c:rich>
                  <a:bodyPr/>
                  <a:lstStyle/>
                  <a:p>
                    <a:r>
                      <a:rPr lang="ru-RU"/>
                      <a:t>Административ-ные платежи и сборы; 0,2</a:t>
                    </a:r>
                  </a:p>
                </c:rich>
              </c:tx>
              <c:showLegendKey val="0"/>
              <c:showVal val="1"/>
              <c:showCatName val="1"/>
              <c:showSerName val="0"/>
              <c:showPercent val="0"/>
              <c:showBubbleSize val="0"/>
            </c:dLbl>
            <c:dLbl>
              <c:idx val="5"/>
              <c:layout>
                <c:manualLayout>
                  <c:x val="0.21293341865835674"/>
                  <c:y val="-9.8510348001907042E-2"/>
                </c:manualLayout>
              </c:layout>
              <c:tx>
                <c:rich>
                  <a:bodyPr/>
                  <a:lstStyle/>
                  <a:p>
                    <a:r>
                      <a:rPr lang="ru-RU" b="1">
                        <a:latin typeface="Times New Roman" pitchFamily="18" charset="0"/>
                        <a:cs typeface="Times New Roman" pitchFamily="18" charset="0"/>
                      </a:rPr>
                      <a:t>Штрафы, санкции, возмещение ущерба; 29,2</a:t>
                    </a:r>
                    <a:endParaRPr lang="ru-RU" b="1"/>
                  </a:p>
                </c:rich>
              </c:tx>
              <c:showLegendKey val="0"/>
              <c:showVal val="1"/>
              <c:showCatName val="1"/>
              <c:showSerName val="0"/>
              <c:showPercent val="0"/>
              <c:showBubbleSize val="0"/>
            </c:dLbl>
            <c:dLbl>
              <c:idx val="6"/>
              <c:layout>
                <c:manualLayout>
                  <c:x val="-5.3223225145637286E-2"/>
                  <c:y val="-0.11314599008457275"/>
                </c:manualLayout>
              </c:layout>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Лист1!$A$2:$A$8</c:f>
              <c:strCache>
                <c:ptCount val="7"/>
                <c:pt idx="0">
                  <c:v>Доходы от использования имущества, находящегося в государственной собственности </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Административные платежи и сборы</c:v>
                </c:pt>
                <c:pt idx="5">
                  <c:v>Штрафы, санкции, возмещение ущерба</c:v>
                </c:pt>
                <c:pt idx="6">
                  <c:v>Прочие неналоговые доходы</c:v>
                </c:pt>
              </c:strCache>
            </c:strRef>
          </c:cat>
          <c:val>
            <c:numRef>
              <c:f>Лист1!$B$2:$B$8</c:f>
              <c:numCache>
                <c:formatCode>General</c:formatCode>
                <c:ptCount val="7"/>
                <c:pt idx="0">
                  <c:v>6.3</c:v>
                </c:pt>
                <c:pt idx="1">
                  <c:v>14</c:v>
                </c:pt>
                <c:pt idx="2">
                  <c:v>42.6</c:v>
                </c:pt>
                <c:pt idx="3">
                  <c:v>7.6</c:v>
                </c:pt>
                <c:pt idx="4">
                  <c:v>0.2</c:v>
                </c:pt>
                <c:pt idx="5">
                  <c:v>29.2</c:v>
                </c:pt>
                <c:pt idx="6">
                  <c:v>0.1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2862140251486"/>
          <c:y val="7.3320555325321168E-2"/>
          <c:w val="0.53536977491961357"/>
          <c:h val="0.82830259704379061"/>
        </c:manualLayout>
      </c:layout>
      <c:barChart>
        <c:barDir val="col"/>
        <c:grouping val="percentStacked"/>
        <c:varyColors val="0"/>
        <c:ser>
          <c:idx val="0"/>
          <c:order val="0"/>
          <c:tx>
            <c:strRef>
              <c:f>Sheet1!$A$2</c:f>
              <c:strCache>
                <c:ptCount val="1"/>
                <c:pt idx="0">
                  <c:v>Покупка товаров и оплата услуг</c:v>
                </c:pt>
              </c:strCache>
            </c:strRef>
          </c:tx>
          <c:spPr>
            <a:solidFill>
              <a:srgbClr val="339966"/>
            </a:solidFill>
            <a:ln w="11107">
              <a:solidFill>
                <a:srgbClr val="000000"/>
              </a:solidFill>
              <a:prstDash val="solid"/>
            </a:ln>
            <a:scene3d>
              <a:camera prst="orthographicFront"/>
              <a:lightRig rig="threePt" dir="t"/>
            </a:scene3d>
            <a:sp3d>
              <a:bevelT/>
            </a:sp3d>
          </c:spPr>
          <c:invertIfNegative val="0"/>
          <c:dLbls>
            <c:dLbl>
              <c:idx val="0"/>
              <c:layout>
                <c:manualLayout>
                  <c:x val="-9.7412616651233602E-2"/>
                  <c:y val="-1.4101903731286175E-2"/>
                </c:manualLayout>
              </c:layout>
              <c:dLblPos val="ctr"/>
              <c:showLegendKey val="0"/>
              <c:showVal val="1"/>
              <c:showCatName val="0"/>
              <c:showSerName val="0"/>
              <c:showPercent val="0"/>
              <c:showBubbleSize val="0"/>
            </c:dLbl>
            <c:dLbl>
              <c:idx val="1"/>
              <c:layout>
                <c:manualLayout>
                  <c:x val="9.1494116325623362E-2"/>
                  <c:y val="-7.2416073842117602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008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2016 год</c:v>
                </c:pt>
                <c:pt idx="1">
                  <c:v>2017 год</c:v>
                </c:pt>
              </c:strCache>
            </c:strRef>
          </c:cat>
          <c:val>
            <c:numRef>
              <c:f>Sheet1!$B$2:$C$2</c:f>
              <c:numCache>
                <c:formatCode>General</c:formatCode>
                <c:ptCount val="2"/>
                <c:pt idx="0">
                  <c:v>71.599999999999994</c:v>
                </c:pt>
                <c:pt idx="1">
                  <c:v>71.3</c:v>
                </c:pt>
              </c:numCache>
            </c:numRef>
          </c:val>
        </c:ser>
        <c:ser>
          <c:idx val="1"/>
          <c:order val="1"/>
          <c:tx>
            <c:strRef>
              <c:f>Sheet1!$A$3</c:f>
              <c:strCache>
                <c:ptCount val="1"/>
                <c:pt idx="0">
                  <c:v>Оплата обязательных платежей и взносов</c:v>
                </c:pt>
              </c:strCache>
            </c:strRef>
          </c:tx>
          <c:spPr>
            <a:solidFill>
              <a:srgbClr val="FFFF00"/>
            </a:solidFill>
            <a:ln w="11107">
              <a:solidFill>
                <a:srgbClr val="000000"/>
              </a:solidFill>
              <a:prstDash val="solid"/>
            </a:ln>
            <a:scene3d>
              <a:camera prst="orthographicFront"/>
              <a:lightRig rig="threePt" dir="t"/>
            </a:scene3d>
            <a:sp3d>
              <a:bevelT/>
            </a:sp3d>
          </c:spPr>
          <c:invertIfNegative val="0"/>
          <c:dLbls>
            <c:dLbl>
              <c:idx val="0"/>
              <c:layout>
                <c:manualLayout>
                  <c:x val="8.6422501466239102E-2"/>
                  <c:y val="-1.2156375189943363E-4"/>
                </c:manualLayout>
              </c:layout>
              <c:dLblPos val="ctr"/>
              <c:showLegendKey val="0"/>
              <c:showVal val="1"/>
              <c:showCatName val="0"/>
              <c:showSerName val="0"/>
              <c:showPercent val="0"/>
              <c:showBubbleSize val="0"/>
            </c:dLbl>
            <c:dLbl>
              <c:idx val="1"/>
              <c:layout>
                <c:manualLayout>
                  <c:x val="-8.7012657490713824E-2"/>
                  <c:y val="-2.1387622599806605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FF99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2016 год</c:v>
                </c:pt>
                <c:pt idx="1">
                  <c:v>2017 год</c:v>
                </c:pt>
              </c:strCache>
            </c:strRef>
          </c:cat>
          <c:val>
            <c:numRef>
              <c:f>Sheet1!$B$3:$C$3</c:f>
              <c:numCache>
                <c:formatCode>0.0</c:formatCode>
                <c:ptCount val="2"/>
                <c:pt idx="0">
                  <c:v>11</c:v>
                </c:pt>
                <c:pt idx="1">
                  <c:v>13.5</c:v>
                </c:pt>
              </c:numCache>
            </c:numRef>
          </c:val>
        </c:ser>
        <c:ser>
          <c:idx val="2"/>
          <c:order val="2"/>
          <c:tx>
            <c:strRef>
              <c:f>Sheet1!$A$4</c:f>
              <c:strCache>
                <c:ptCount val="1"/>
                <c:pt idx="0">
                  <c:v>Сбережения во вкладах и ценных бумагах</c:v>
                </c:pt>
              </c:strCache>
            </c:strRef>
          </c:tx>
          <c:spPr>
            <a:solidFill>
              <a:srgbClr val="FF6600"/>
            </a:solidFill>
            <a:ln w="11107">
              <a:solidFill>
                <a:srgbClr val="000000"/>
              </a:solidFill>
              <a:prstDash val="solid"/>
            </a:ln>
            <a:scene3d>
              <a:camera prst="orthographicFront"/>
              <a:lightRig rig="threePt" dir="t"/>
            </a:scene3d>
            <a:sp3d>
              <a:bevelT/>
            </a:sp3d>
          </c:spPr>
          <c:invertIfNegative val="0"/>
          <c:dLbls>
            <c:dLbl>
              <c:idx val="0"/>
              <c:layout>
                <c:manualLayout>
                  <c:x val="-9.0981693849283105E-2"/>
                  <c:y val="1.6822765575355711E-2"/>
                </c:manualLayout>
              </c:layout>
              <c:dLblPos val="ctr"/>
              <c:showLegendKey val="0"/>
              <c:showVal val="1"/>
              <c:showCatName val="0"/>
              <c:showSerName val="0"/>
              <c:showPercent val="0"/>
              <c:showBubbleSize val="0"/>
            </c:dLbl>
            <c:dLbl>
              <c:idx val="1"/>
              <c:layout>
                <c:manualLayout>
                  <c:x val="8.8370332472307841E-2"/>
                  <c:y val="2.2980038679375606E-2"/>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FF66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2016 год</c:v>
                </c:pt>
                <c:pt idx="1">
                  <c:v>2017 год</c:v>
                </c:pt>
              </c:strCache>
            </c:strRef>
          </c:cat>
          <c:val>
            <c:numRef>
              <c:f>Sheet1!$B$4:$C$4</c:f>
              <c:numCache>
                <c:formatCode>0.0</c:formatCode>
                <c:ptCount val="2"/>
                <c:pt idx="0">
                  <c:v>3.2</c:v>
                </c:pt>
                <c:pt idx="1">
                  <c:v>3.9</c:v>
                </c:pt>
              </c:numCache>
            </c:numRef>
          </c:val>
        </c:ser>
        <c:ser>
          <c:idx val="3"/>
          <c:order val="3"/>
          <c:tx>
            <c:strRef>
              <c:f>Sheet1!$A$6</c:f>
              <c:strCache>
                <c:ptCount val="1"/>
                <c:pt idx="0">
                  <c:v>Покупка валюты</c:v>
                </c:pt>
              </c:strCache>
            </c:strRef>
          </c:tx>
          <c:spPr>
            <a:solidFill>
              <a:srgbClr val="FF0000"/>
            </a:solidFill>
            <a:ln w="11107">
              <a:solidFill>
                <a:srgbClr val="000000"/>
              </a:solidFill>
              <a:prstDash val="solid"/>
            </a:ln>
            <a:scene3d>
              <a:camera prst="orthographicFront"/>
              <a:lightRig rig="threePt" dir="t"/>
            </a:scene3d>
            <a:sp3d>
              <a:bevelT/>
            </a:sp3d>
          </c:spPr>
          <c:invertIfNegative val="0"/>
          <c:dLbls>
            <c:dLbl>
              <c:idx val="0"/>
              <c:layout>
                <c:manualLayout>
                  <c:x val="8.1399270416079125E-2"/>
                  <c:y val="-2.1988534327945851E-3"/>
                </c:manualLayout>
              </c:layout>
              <c:dLblPos val="ctr"/>
              <c:showLegendKey val="0"/>
              <c:showVal val="1"/>
              <c:showCatName val="0"/>
              <c:showSerName val="0"/>
              <c:showPercent val="0"/>
              <c:showBubbleSize val="0"/>
            </c:dLbl>
            <c:dLbl>
              <c:idx val="1"/>
              <c:layout>
                <c:manualLayout>
                  <c:x val="-8.427251664857266E-2"/>
                  <c:y val="-7.654026799281669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FF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2016 год</c:v>
                </c:pt>
                <c:pt idx="1">
                  <c:v>2017 год</c:v>
                </c:pt>
              </c:strCache>
            </c:strRef>
          </c:cat>
          <c:val>
            <c:numRef>
              <c:f>Sheet1!$B$6:$C$6</c:f>
              <c:numCache>
                <c:formatCode>0.0</c:formatCode>
                <c:ptCount val="2"/>
                <c:pt idx="0">
                  <c:v>3.8</c:v>
                </c:pt>
                <c:pt idx="1">
                  <c:v>3</c:v>
                </c:pt>
              </c:numCache>
            </c:numRef>
          </c:val>
        </c:ser>
        <c:ser>
          <c:idx val="4"/>
          <c:order val="4"/>
          <c:tx>
            <c:strRef>
              <c:f>Sheet1!$A$8</c:f>
              <c:strCache>
                <c:ptCount val="1"/>
                <c:pt idx="0">
                  <c:v>Деньги на руках у населения</c:v>
                </c:pt>
              </c:strCache>
            </c:strRef>
          </c:tx>
          <c:spPr>
            <a:solidFill>
              <a:srgbClr val="33CCCC"/>
            </a:solidFill>
            <a:ln w="11107">
              <a:solidFill>
                <a:srgbClr val="000000"/>
              </a:solidFill>
              <a:prstDash val="solid"/>
            </a:ln>
            <a:scene3d>
              <a:camera prst="orthographicFront"/>
              <a:lightRig rig="threePt" dir="t"/>
            </a:scene3d>
            <a:sp3d>
              <a:bevelT/>
            </a:sp3d>
          </c:spPr>
          <c:invertIfNegative val="0"/>
          <c:dLbls>
            <c:dLbl>
              <c:idx val="0"/>
              <c:layout>
                <c:manualLayout>
                  <c:x val="-9.2079480556214149E-2"/>
                  <c:y val="-1.6998894874982733E-2"/>
                </c:manualLayout>
              </c:layout>
              <c:dLblPos val="ctr"/>
              <c:showLegendKey val="0"/>
              <c:showVal val="1"/>
              <c:showCatName val="0"/>
              <c:showSerName val="0"/>
              <c:showPercent val="0"/>
              <c:showBubbleSize val="0"/>
            </c:dLbl>
            <c:dLbl>
              <c:idx val="1"/>
              <c:layout>
                <c:manualLayout>
                  <c:x val="8.6353785808469669E-2"/>
                  <c:y val="-7.7175714877745945E-3"/>
                </c:manualLayout>
              </c:layout>
              <c:dLblPos val="ctr"/>
              <c:showLegendKey val="0"/>
              <c:showVal val="1"/>
              <c:showCatName val="0"/>
              <c:showSerName val="0"/>
              <c:showPercent val="0"/>
              <c:showBubbleSize val="0"/>
            </c:dLbl>
            <c:spPr>
              <a:solidFill>
                <a:srgbClr val="FFFFFF"/>
              </a:solidFill>
              <a:ln w="2777">
                <a:solidFill>
                  <a:srgbClr val="000000"/>
                </a:solidFill>
                <a:prstDash val="solid"/>
              </a:ln>
              <a:effectLst>
                <a:outerShdw dist="35921" dir="2700000" algn="br">
                  <a:srgbClr val="000000"/>
                </a:outerShdw>
              </a:effectLst>
            </c:spPr>
            <c:txPr>
              <a:bodyPr/>
              <a:lstStyle/>
              <a:p>
                <a:pPr>
                  <a:defRPr sz="105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2016 год</c:v>
                </c:pt>
                <c:pt idx="1">
                  <c:v>2017 год</c:v>
                </c:pt>
              </c:strCache>
            </c:strRef>
          </c:cat>
          <c:val>
            <c:numRef>
              <c:f>Sheet1!$B$8:$C$8</c:f>
              <c:numCache>
                <c:formatCode>0.0</c:formatCode>
                <c:ptCount val="2"/>
                <c:pt idx="0">
                  <c:v>0.5</c:v>
                </c:pt>
                <c:pt idx="1">
                  <c:v>2.5</c:v>
                </c:pt>
              </c:numCache>
            </c:numRef>
          </c:val>
        </c:ser>
        <c:dLbls>
          <c:showLegendKey val="0"/>
          <c:showVal val="1"/>
          <c:showCatName val="0"/>
          <c:showSerName val="0"/>
          <c:showPercent val="0"/>
          <c:showBubbleSize val="0"/>
        </c:dLbls>
        <c:gapWidth val="150"/>
        <c:overlap val="100"/>
        <c:axId val="133033344"/>
        <c:axId val="133060096"/>
      </c:barChart>
      <c:catAx>
        <c:axId val="133033344"/>
        <c:scaling>
          <c:orientation val="minMax"/>
        </c:scaling>
        <c:delete val="0"/>
        <c:axPos val="b"/>
        <c:numFmt formatCode="General" sourceLinked="1"/>
        <c:majorTickMark val="out"/>
        <c:minorTickMark val="none"/>
        <c:tickLblPos val="nextTo"/>
        <c:spPr>
          <a:ln w="33322">
            <a:solidFill>
              <a:srgbClr val="0000FF"/>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33060096"/>
        <c:crosses val="autoZero"/>
        <c:auto val="1"/>
        <c:lblAlgn val="ctr"/>
        <c:lblOffset val="100"/>
        <c:tickLblSkip val="1"/>
        <c:tickMarkSkip val="1"/>
        <c:noMultiLvlLbl val="0"/>
      </c:catAx>
      <c:valAx>
        <c:axId val="133060096"/>
        <c:scaling>
          <c:orientation val="minMax"/>
        </c:scaling>
        <c:delete val="1"/>
        <c:axPos val="l"/>
        <c:majorGridlines>
          <c:spPr>
            <a:ln w="2777">
              <a:solidFill>
                <a:srgbClr val="000000"/>
              </a:solidFill>
              <a:prstDash val="solid"/>
            </a:ln>
          </c:spPr>
        </c:majorGridlines>
        <c:numFmt formatCode="0%" sourceLinked="1"/>
        <c:majorTickMark val="out"/>
        <c:minorTickMark val="none"/>
        <c:tickLblPos val="none"/>
        <c:crossAx val="133033344"/>
        <c:crosses val="autoZero"/>
        <c:crossBetween val="between"/>
      </c:valAx>
      <c:spPr>
        <a:noFill/>
        <a:ln w="22215">
          <a:noFill/>
        </a:ln>
      </c:spPr>
    </c:plotArea>
    <c:legend>
      <c:legendPos val="r"/>
      <c:layout>
        <c:manualLayout>
          <c:xMode val="edge"/>
          <c:yMode val="edge"/>
          <c:x val="0.66247118476276046"/>
          <c:y val="0"/>
          <c:w val="0.32636643806621102"/>
          <c:h val="0.93421052631578949"/>
        </c:manualLayout>
      </c:layout>
      <c:overlay val="0"/>
      <c:spPr>
        <a:noFill/>
        <a:ln w="22215">
          <a:noFill/>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0"/>
      <c:rAngAx val="0"/>
      <c:perspective val="200"/>
    </c:view3D>
    <c:floor>
      <c:thickness val="0"/>
    </c:floor>
    <c:sideWall>
      <c:thickness val="0"/>
    </c:sideWall>
    <c:backWall>
      <c:thickness val="0"/>
    </c:backWall>
    <c:plotArea>
      <c:layout>
        <c:manualLayout>
          <c:layoutTarget val="inner"/>
          <c:xMode val="edge"/>
          <c:yMode val="edge"/>
          <c:x val="0.18353637512929549"/>
          <c:y val="0.24854173228346457"/>
          <c:w val="0.61635542712660296"/>
          <c:h val="0.51890048260096522"/>
        </c:manualLayout>
      </c:layout>
      <c:pie3DChart>
        <c:varyColors val="1"/>
        <c:ser>
          <c:idx val="0"/>
          <c:order val="0"/>
          <c:tx>
            <c:strRef>
              <c:f>Лист1!$B$1</c:f>
              <c:strCache>
                <c:ptCount val="1"/>
                <c:pt idx="0">
                  <c:v>Столбец1</c:v>
                </c:pt>
              </c:strCache>
            </c:strRef>
          </c:tx>
          <c:explosion val="25"/>
          <c:dPt>
            <c:idx val="0"/>
            <c:bubble3D val="0"/>
            <c:spPr>
              <a:solidFill>
                <a:srgbClr val="1328F1"/>
              </a:solidFill>
            </c:spPr>
          </c:dPt>
          <c:dPt>
            <c:idx val="2"/>
            <c:bubble3D val="0"/>
            <c:spPr>
              <a:solidFill>
                <a:srgbClr val="92D050"/>
              </a:solidFill>
            </c:spPr>
          </c:dPt>
          <c:dPt>
            <c:idx val="3"/>
            <c:bubble3D val="0"/>
            <c:spPr>
              <a:solidFill>
                <a:srgbClr val="F47710"/>
              </a:solidFill>
            </c:spPr>
          </c:dPt>
          <c:dPt>
            <c:idx val="4"/>
            <c:bubble3D val="0"/>
            <c:spPr>
              <a:solidFill>
                <a:srgbClr val="FF00FF"/>
              </a:solidFill>
            </c:spPr>
          </c:dPt>
          <c:dPt>
            <c:idx val="5"/>
            <c:bubble3D val="0"/>
            <c:spPr>
              <a:solidFill>
                <a:srgbClr val="FFFF00"/>
              </a:solidFill>
            </c:spPr>
          </c:dPt>
          <c:dPt>
            <c:idx val="6"/>
            <c:bubble3D val="0"/>
            <c:spPr>
              <a:solidFill>
                <a:srgbClr val="00B0F0"/>
              </a:solidFill>
            </c:spPr>
          </c:dPt>
          <c:dPt>
            <c:idx val="8"/>
            <c:bubble3D val="0"/>
            <c:spPr>
              <a:solidFill>
                <a:srgbClr val="FFC000"/>
              </a:solidFill>
            </c:spPr>
          </c:dPt>
          <c:dPt>
            <c:idx val="9"/>
            <c:bubble3D val="0"/>
            <c:spPr>
              <a:solidFill>
                <a:srgbClr val="7030A0"/>
              </a:solidFill>
            </c:spPr>
          </c:dPt>
          <c:dPt>
            <c:idx val="10"/>
            <c:bubble3D val="0"/>
            <c:spPr>
              <a:solidFill>
                <a:srgbClr val="2EE6AD"/>
              </a:solidFill>
            </c:spPr>
          </c:dPt>
          <c:dPt>
            <c:idx val="11"/>
            <c:bubble3D val="0"/>
            <c:spPr>
              <a:solidFill>
                <a:srgbClr val="FF0000"/>
              </a:solidFill>
            </c:spPr>
          </c:dPt>
          <c:dPt>
            <c:idx val="12"/>
            <c:bubble3D val="0"/>
            <c:spPr>
              <a:solidFill>
                <a:srgbClr val="A5F3FB"/>
              </a:solidFill>
            </c:spPr>
          </c:dPt>
          <c:dLbls>
            <c:dLbl>
              <c:idx val="0"/>
              <c:layout>
                <c:manualLayout>
                  <c:x val="-2.997537228889947E-2"/>
                  <c:y val="-5.6776334623293609E-2"/>
                </c:manualLayout>
              </c:layout>
              <c:showLegendKey val="0"/>
              <c:showVal val="0"/>
              <c:showCatName val="1"/>
              <c:showSerName val="0"/>
              <c:showPercent val="1"/>
              <c:showBubbleSize val="0"/>
            </c:dLbl>
            <c:dLbl>
              <c:idx val="1"/>
              <c:layout>
                <c:manualLayout>
                  <c:x val="3.6120294841845035E-2"/>
                  <c:y val="-0.14443964397439107"/>
                </c:manualLayout>
              </c:layout>
              <c:showLegendKey val="0"/>
              <c:showVal val="0"/>
              <c:showCatName val="1"/>
              <c:showSerName val="0"/>
              <c:showPercent val="1"/>
              <c:showBubbleSize val="0"/>
            </c:dLbl>
            <c:dLbl>
              <c:idx val="2"/>
              <c:layout>
                <c:manualLayout>
                  <c:x val="0.13724897087630042"/>
                  <c:y val="-0.11878380599005225"/>
                </c:manualLayout>
              </c:layout>
              <c:showLegendKey val="0"/>
              <c:showVal val="0"/>
              <c:showCatName val="1"/>
              <c:showSerName val="0"/>
              <c:showPercent val="1"/>
              <c:showBubbleSize val="0"/>
            </c:dLbl>
            <c:dLbl>
              <c:idx val="3"/>
              <c:layout>
                <c:manualLayout>
                  <c:x val="8.5423264192738838E-2"/>
                  <c:y val="5.9752649179007902E-3"/>
                </c:manualLayout>
              </c:layout>
              <c:showLegendKey val="0"/>
              <c:showVal val="0"/>
              <c:showCatName val="1"/>
              <c:showSerName val="0"/>
              <c:showPercent val="1"/>
              <c:showBubbleSize val="0"/>
            </c:dLbl>
            <c:dLbl>
              <c:idx val="4"/>
              <c:layout>
                <c:manualLayout>
                  <c:x val="9.8916639255133623E-2"/>
                  <c:y val="8.8605437720604155E-2"/>
                </c:manualLayout>
              </c:layout>
              <c:showLegendKey val="0"/>
              <c:showVal val="0"/>
              <c:showCatName val="1"/>
              <c:showSerName val="0"/>
              <c:showPercent val="1"/>
              <c:showBubbleSize val="0"/>
            </c:dLbl>
            <c:dLbl>
              <c:idx val="5"/>
              <c:layout>
                <c:manualLayout>
                  <c:x val="4.5306745734562816E-2"/>
                  <c:y val="9.4322127248747695E-2"/>
                </c:manualLayout>
              </c:layout>
              <c:showLegendKey val="0"/>
              <c:showVal val="0"/>
              <c:showCatName val="1"/>
              <c:showSerName val="0"/>
              <c:showPercent val="1"/>
              <c:showBubbleSize val="0"/>
            </c:dLbl>
            <c:dLbl>
              <c:idx val="6"/>
              <c:layout>
                <c:manualLayout>
                  <c:x val="0.11328510217957014"/>
                  <c:y val="7.0076977466972737E-2"/>
                </c:manualLayout>
              </c:layout>
              <c:showLegendKey val="0"/>
              <c:showVal val="0"/>
              <c:showCatName val="1"/>
              <c:showSerName val="0"/>
              <c:showPercent val="1"/>
              <c:showBubbleSize val="0"/>
            </c:dLbl>
            <c:dLbl>
              <c:idx val="7"/>
              <c:layout>
                <c:manualLayout>
                  <c:x val="5.5388822600992468E-2"/>
                  <c:y val="9.2630317019927771E-2"/>
                </c:manualLayout>
              </c:layout>
              <c:showLegendKey val="0"/>
              <c:showVal val="0"/>
              <c:showCatName val="1"/>
              <c:showSerName val="0"/>
              <c:showPercent val="1"/>
              <c:showBubbleSize val="0"/>
            </c:dLbl>
            <c:dLbl>
              <c:idx val="8"/>
              <c:layout>
                <c:manualLayout>
                  <c:x val="-8.9215092521728503E-2"/>
                  <c:y val="7.9184193629701763E-2"/>
                </c:manualLayout>
              </c:layout>
              <c:showLegendKey val="0"/>
              <c:showVal val="0"/>
              <c:showCatName val="1"/>
              <c:showSerName val="0"/>
              <c:showPercent val="1"/>
              <c:showBubbleSize val="0"/>
            </c:dLbl>
            <c:dLbl>
              <c:idx val="9"/>
              <c:layout>
                <c:manualLayout>
                  <c:x val="-9.9636458992949026E-2"/>
                  <c:y val="-9.437900164712321E-3"/>
                </c:manualLayout>
              </c:layout>
              <c:showLegendKey val="0"/>
              <c:showVal val="0"/>
              <c:showCatName val="1"/>
              <c:showSerName val="0"/>
              <c:showPercent val="1"/>
              <c:showBubbleSize val="0"/>
            </c:dLbl>
            <c:dLbl>
              <c:idx val="10"/>
              <c:layout>
                <c:manualLayout>
                  <c:x val="-6.6567306020821379E-2"/>
                  <c:y val="-0.12413467126293054"/>
                </c:manualLayout>
              </c:layout>
              <c:showLegendKey val="0"/>
              <c:showVal val="0"/>
              <c:showCatName val="1"/>
              <c:showSerName val="0"/>
              <c:showPercent val="1"/>
              <c:showBubbleSize val="0"/>
            </c:dLbl>
            <c:dLbl>
              <c:idx val="11"/>
              <c:layout>
                <c:manualLayout>
                  <c:x val="-0.12437552333886089"/>
                  <c:y val="-0.14601297843476557"/>
                </c:manualLayout>
              </c:layout>
              <c:showLegendKey val="0"/>
              <c:showVal val="0"/>
              <c:showCatName val="1"/>
              <c:showSerName val="0"/>
              <c:showPercent val="1"/>
              <c:showBubbleSize val="0"/>
            </c:dLbl>
            <c:dLbl>
              <c:idx val="12"/>
              <c:layout>
                <c:manualLayout>
                  <c:x val="-0.10415699344902885"/>
                  <c:y val="-5.9993006704583247E-2"/>
                </c:manualLayout>
              </c:layout>
              <c:showLegendKey val="0"/>
              <c:showVal val="0"/>
              <c:showCatName val="1"/>
              <c:showSerName val="0"/>
              <c:showPercent val="1"/>
              <c:showBubbleSize val="0"/>
            </c:dLbl>
            <c:dLbl>
              <c:idx val="13"/>
              <c:layout>
                <c:manualLayout>
                  <c:x val="-7.8064918646460993E-2"/>
                  <c:y val="-0.15140301719452637"/>
                </c:manualLayout>
              </c:layout>
              <c:showLegendKey val="0"/>
              <c:showVal val="0"/>
              <c:showCatName val="1"/>
              <c:showSerName val="0"/>
              <c:showPercent val="1"/>
              <c:showBubbleSize val="0"/>
            </c:dLbl>
            <c:numFmt formatCode="0.0%" sourceLinked="0"/>
            <c:txPr>
              <a:bodyPr/>
              <a:lstStyle/>
              <a:p>
                <a:pPr>
                  <a:defRPr b="1" i="0" baseline="0">
                    <a:latin typeface="Times New Roman" pitchFamily="18" charset="0"/>
                  </a:defRPr>
                </a:pPr>
                <a:endParaRPr lang="ru-RU"/>
              </a:p>
            </c:txPr>
            <c:showLegendKey val="0"/>
            <c:showVal val="0"/>
            <c:showCatName val="1"/>
            <c:showSerName val="0"/>
            <c:showPercent val="1"/>
            <c:showBubbleSize val="0"/>
            <c:showLeaderLines val="1"/>
          </c:dLbls>
          <c:cat>
            <c:strRef>
              <c:f>Лист1!$A$2:$A$15</c:f>
              <c:strCache>
                <c:ptCount val="14"/>
                <c:pt idx="0">
                  <c:v>Развитие с/х и регулирование рынковс/х продукции, сырья и продовольствия </c:v>
                </c:pt>
                <c:pt idx="1">
                  <c:v>Развитие системы социальной защиты населения </c:v>
                </c:pt>
                <c:pt idx="2">
                  <c:v>Развитие и сохранение культуры и искусства </c:v>
                </c:pt>
                <c:pt idx="3">
                  <c:v>Охрана окружающей среды </c:v>
                </c:pt>
                <c:pt idx="4">
                  <c:v>Модернизация ЖКК, энергосбережение и повышение энергетической эффективности</c:v>
                </c:pt>
                <c:pt idx="5">
                  <c:v>Развитие здравоохранения </c:v>
                </c:pt>
                <c:pt idx="6">
                  <c:v>Обесечение доступным и качественным жильем населения </c:v>
                </c:pt>
                <c:pt idx="7">
                  <c:v>Экономическое развитие и инновационная экономика </c:v>
                </c:pt>
                <c:pt idx="8">
                  <c:v>Развитие физической культуры и спорта на территории </c:v>
                </c:pt>
                <c:pt idx="9">
                  <c:v>Повышение эффект-ти деят-ти органов государственной власти и управления </c:v>
                </c:pt>
                <c:pt idx="10">
                  <c:v>Снижение рисков и смягчение последствий чрезвычайных ситуаций природного и техногеннго характера</c:v>
                </c:pt>
                <c:pt idx="11">
                  <c:v>Развитие образования </c:v>
                </c:pt>
                <c:pt idx="12">
                  <c:v>Развитие транспортной системы</c:v>
                </c:pt>
                <c:pt idx="13">
                  <c:v>Непрограммные расходы</c:v>
                </c:pt>
              </c:strCache>
            </c:strRef>
          </c:cat>
          <c:val>
            <c:numRef>
              <c:f>Лист1!$B$2:$B$15</c:f>
              <c:numCache>
                <c:formatCode>#,##0.0</c:formatCode>
                <c:ptCount val="14"/>
                <c:pt idx="0">
                  <c:v>1797126.5</c:v>
                </c:pt>
                <c:pt idx="1">
                  <c:v>8525823.5</c:v>
                </c:pt>
                <c:pt idx="2">
                  <c:v>363248.4</c:v>
                </c:pt>
                <c:pt idx="3">
                  <c:v>585954.80000000005</c:v>
                </c:pt>
                <c:pt idx="4">
                  <c:v>3333706.6</c:v>
                </c:pt>
                <c:pt idx="5">
                  <c:v>7922390.7999999998</c:v>
                </c:pt>
                <c:pt idx="6">
                  <c:v>1559131.3</c:v>
                </c:pt>
                <c:pt idx="7">
                  <c:v>875952.2</c:v>
                </c:pt>
                <c:pt idx="8">
                  <c:v>175295.8</c:v>
                </c:pt>
                <c:pt idx="9">
                  <c:v>5746205.9000000004</c:v>
                </c:pt>
                <c:pt idx="10">
                  <c:v>808107.4</c:v>
                </c:pt>
                <c:pt idx="11">
                  <c:v>8539710.5</c:v>
                </c:pt>
                <c:pt idx="12">
                  <c:v>5390348.2999999998</c:v>
                </c:pt>
                <c:pt idx="13" formatCode="General">
                  <c:v>611257.30000000005</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100"/>
      <c:rAngAx val="0"/>
      <c:perspective val="30"/>
    </c:view3D>
    <c:floor>
      <c:thickness val="0"/>
    </c:floor>
    <c:sideWall>
      <c:thickness val="0"/>
    </c:sideWall>
    <c:backWall>
      <c:thickness val="0"/>
    </c:backWall>
    <c:plotArea>
      <c:layout>
        <c:manualLayout>
          <c:layoutTarget val="inner"/>
          <c:xMode val="edge"/>
          <c:yMode val="edge"/>
          <c:x val="0.10850627769032398"/>
          <c:y val="4.1381617273974408E-2"/>
          <c:w val="0.62994900646112872"/>
          <c:h val="0.94319232768934924"/>
        </c:manualLayout>
      </c:layout>
      <c:pie3DChart>
        <c:varyColors val="1"/>
        <c:ser>
          <c:idx val="0"/>
          <c:order val="0"/>
          <c:spPr>
            <a:ln>
              <a:solidFill>
                <a:schemeClr val="tx1"/>
              </a:solidFill>
            </a:ln>
          </c:spPr>
          <c:explosion val="25"/>
          <c:dPt>
            <c:idx val="0"/>
            <c:bubble3D val="0"/>
            <c:spPr>
              <a:solidFill>
                <a:srgbClr val="00B050"/>
              </a:solidFill>
              <a:ln>
                <a:solidFill>
                  <a:schemeClr val="tx1"/>
                </a:solidFill>
              </a:ln>
            </c:spPr>
          </c:dPt>
          <c:dPt>
            <c:idx val="2"/>
            <c:bubble3D val="0"/>
            <c:spPr>
              <a:solidFill>
                <a:srgbClr val="FF0000"/>
              </a:solidFill>
              <a:ln>
                <a:solidFill>
                  <a:schemeClr val="tx1"/>
                </a:solidFill>
              </a:ln>
            </c:spPr>
          </c:dPt>
          <c:dPt>
            <c:idx val="3"/>
            <c:bubble3D val="0"/>
            <c:explosion val="12"/>
            <c:spPr>
              <a:gradFill>
                <a:gsLst>
                  <a:gs pos="0">
                    <a:srgbClr val="66CCFF">
                      <a:shade val="30000"/>
                      <a:satMod val="115000"/>
                    </a:srgbClr>
                  </a:gs>
                  <a:gs pos="50000">
                    <a:srgbClr val="66CCFF">
                      <a:shade val="67500"/>
                      <a:satMod val="115000"/>
                    </a:srgbClr>
                  </a:gs>
                  <a:gs pos="100000">
                    <a:srgbClr val="66CCFF">
                      <a:shade val="100000"/>
                      <a:satMod val="115000"/>
                    </a:srgbClr>
                  </a:gs>
                </a:gsLst>
                <a:path path="circle">
                  <a:fillToRect l="50000" t="50000" r="50000" b="50000"/>
                </a:path>
              </a:gradFill>
              <a:ln>
                <a:solidFill>
                  <a:schemeClr val="tx1"/>
                </a:solidFill>
              </a:ln>
            </c:spPr>
          </c:dPt>
          <c:dPt>
            <c:idx val="4"/>
            <c:bubble3D val="0"/>
            <c:spPr>
              <a:solidFill>
                <a:srgbClr val="FFFF00"/>
              </a:solidFill>
              <a:ln>
                <a:solidFill>
                  <a:schemeClr val="tx1"/>
                </a:solidFill>
              </a:ln>
            </c:spPr>
          </c:dPt>
          <c:dPt>
            <c:idx val="5"/>
            <c:bubble3D val="0"/>
            <c:spPr>
              <a:solidFill>
                <a:schemeClr val="accent6"/>
              </a:solidFill>
              <a:ln>
                <a:solidFill>
                  <a:schemeClr val="tx1"/>
                </a:solidFill>
              </a:ln>
            </c:spPr>
          </c:dPt>
          <c:dLbls>
            <c:dLbl>
              <c:idx val="0"/>
              <c:layout>
                <c:manualLayout>
                  <c:x val="6.9823024915432769E-2"/>
                  <c:y val="-3.5153099652578533E-2"/>
                </c:manualLayout>
              </c:layout>
              <c:tx>
                <c:rich>
                  <a:bodyPr/>
                  <a:lstStyle/>
                  <a:p>
                    <a:r>
                      <a:rPr lang="ru-RU" sz="900" b="1"/>
                      <a:t>Содержание органов государственной власти</a:t>
                    </a:r>
                    <a:r>
                      <a:rPr lang="en-US" sz="900" b="1"/>
                      <a:t>:</a:t>
                    </a:r>
                    <a:r>
                      <a:rPr lang="ru-RU" sz="900" b="1"/>
                      <a:t> </a:t>
                    </a:r>
                  </a:p>
                  <a:p>
                    <a:r>
                      <a:rPr lang="ru-RU" sz="900" b="1"/>
                      <a:t>76,3</a:t>
                    </a:r>
                    <a:endParaRPr lang="ru-RU"/>
                  </a:p>
                </c:rich>
              </c:tx>
              <c:showLegendKey val="0"/>
              <c:showVal val="1"/>
              <c:showCatName val="1"/>
              <c:showSerName val="0"/>
              <c:showPercent val="0"/>
              <c:showBubbleSize val="0"/>
            </c:dLbl>
            <c:dLbl>
              <c:idx val="1"/>
              <c:layout>
                <c:manualLayout>
                  <c:x val="5.1912749941458509E-2"/>
                  <c:y val="0.1183988880270757"/>
                </c:manualLayout>
              </c:layout>
              <c:tx>
                <c:rich>
                  <a:bodyPr/>
                  <a:lstStyle/>
                  <a:p>
                    <a:r>
                      <a:rPr lang="ru-RU" sz="900" b="1"/>
                      <a:t>Публично-нормативные обязательства</a:t>
                    </a:r>
                    <a:r>
                      <a:rPr lang="en-US" sz="900" b="1"/>
                      <a:t>:</a:t>
                    </a:r>
                    <a:r>
                      <a:rPr lang="ru-RU" sz="900" b="1"/>
                      <a:t> 9,4</a:t>
                    </a:r>
                    <a:endParaRPr lang="ru-RU"/>
                  </a:p>
                </c:rich>
              </c:tx>
              <c:showLegendKey val="0"/>
              <c:showVal val="1"/>
              <c:showCatName val="1"/>
              <c:showSerName val="0"/>
              <c:showPercent val="0"/>
              <c:showBubbleSize val="0"/>
            </c:dLbl>
            <c:dLbl>
              <c:idx val="2"/>
              <c:layout>
                <c:manualLayout>
                  <c:x val="-0.11685350698543243"/>
                  <c:y val="0.20956261948737889"/>
                </c:manualLayout>
              </c:layout>
              <c:tx>
                <c:rich>
                  <a:bodyPr/>
                  <a:lstStyle/>
                  <a:p>
                    <a:r>
                      <a:rPr lang="ru-RU" sz="900" b="1"/>
                      <a:t>Межбюджетные трансферты</a:t>
                    </a:r>
                    <a:r>
                      <a:rPr lang="en-US" sz="900" b="1"/>
                      <a:t>:</a:t>
                    </a:r>
                    <a:r>
                      <a:rPr lang="ru-RU" sz="900" b="1"/>
                      <a:t> 36,6.</a:t>
                    </a:r>
                    <a:endParaRPr lang="ru-RU"/>
                  </a:p>
                </c:rich>
              </c:tx>
              <c:showLegendKey val="0"/>
              <c:showVal val="1"/>
              <c:showCatName val="1"/>
              <c:showSerName val="0"/>
              <c:showPercent val="0"/>
              <c:showBubbleSize val="0"/>
            </c:dLbl>
            <c:dLbl>
              <c:idx val="3"/>
              <c:layout>
                <c:manualLayout>
                  <c:x val="2.4807573239720441E-2"/>
                  <c:y val="-0.27695246589361794"/>
                </c:manualLayout>
              </c:layout>
              <c:tx>
                <c:rich>
                  <a:bodyPr/>
                  <a:lstStyle/>
                  <a:p>
                    <a:r>
                      <a:rPr lang="ru-RU" sz="900" b="1"/>
                      <a:t>Субсидии юридическим лицам</a:t>
                    </a:r>
                    <a:r>
                      <a:rPr lang="en-US" sz="900" b="1"/>
                      <a:t>:</a:t>
                    </a:r>
                    <a:r>
                      <a:rPr lang="ru-RU" sz="900" b="1"/>
                      <a:t> </a:t>
                    </a:r>
                  </a:p>
                  <a:p>
                    <a:r>
                      <a:rPr lang="ru-RU" sz="900" b="1"/>
                      <a:t>1415,6</a:t>
                    </a:r>
                    <a:endParaRPr lang="ru-RU"/>
                  </a:p>
                </c:rich>
              </c:tx>
              <c:showLegendKey val="0"/>
              <c:showVal val="1"/>
              <c:showCatName val="1"/>
              <c:showSerName val="0"/>
              <c:showPercent val="0"/>
              <c:showBubbleSize val="0"/>
            </c:dLbl>
            <c:dLbl>
              <c:idx val="4"/>
              <c:layout>
                <c:manualLayout>
                  <c:x val="-4.9779120991881372E-2"/>
                  <c:y val="-0.12204445180024695"/>
                </c:manualLayout>
              </c:layout>
              <c:tx>
                <c:rich>
                  <a:bodyPr/>
                  <a:lstStyle/>
                  <a:p>
                    <a:r>
                      <a:rPr lang="ru-RU" sz="900" b="1"/>
                      <a:t>Содержание подведомственной сети учреждений</a:t>
                    </a:r>
                    <a:r>
                      <a:rPr lang="en-US" sz="900" b="1"/>
                      <a:t>:</a:t>
                    </a:r>
                    <a:r>
                      <a:rPr lang="ru-RU" sz="900" b="1"/>
                      <a:t> 124,3</a:t>
                    </a:r>
                    <a:endParaRPr lang="ru-RU"/>
                  </a:p>
                </c:rich>
              </c:tx>
              <c:showLegendKey val="0"/>
              <c:showVal val="1"/>
              <c:showCatName val="1"/>
              <c:showSerName val="0"/>
              <c:showPercent val="0"/>
              <c:showBubbleSize val="0"/>
            </c:dLbl>
            <c:dLbl>
              <c:idx val="5"/>
              <c:layout>
                <c:manualLayout>
                  <c:x val="5.2783285988544287E-2"/>
                  <c:y val="-0.11233245484480114"/>
                </c:manualLayout>
              </c:layout>
              <c:tx>
                <c:rich>
                  <a:bodyPr/>
                  <a:lstStyle/>
                  <a:p>
                    <a:r>
                      <a:rPr lang="ru-RU" sz="900" b="1"/>
                      <a:t>Прочие расходы</a:t>
                    </a:r>
                    <a:r>
                      <a:rPr lang="en-US" sz="900" b="1"/>
                      <a:t>:</a:t>
                    </a:r>
                    <a:r>
                      <a:rPr lang="ru-RU" sz="900" b="1"/>
                      <a:t> 134,9</a:t>
                    </a:r>
                    <a:endParaRPr lang="ru-RU"/>
                  </a:p>
                </c:rich>
              </c:tx>
              <c:showLegendKey val="0"/>
              <c:showVal val="1"/>
              <c:showCatName val="1"/>
              <c:showSerName val="0"/>
              <c:showPercent val="0"/>
              <c:showBubbleSize val="0"/>
            </c:dLbl>
            <c:numFmt formatCode="0.0" sourceLinked="0"/>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Лист1!$A$2:$A$7</c:f>
              <c:strCache>
                <c:ptCount val="6"/>
                <c:pt idx="0">
                  <c:v>Содержание органов государственной власти</c:v>
                </c:pt>
                <c:pt idx="1">
                  <c:v>Публично-нормативные обязательства</c:v>
                </c:pt>
                <c:pt idx="2">
                  <c:v>Межбюджетные трансферты</c:v>
                </c:pt>
                <c:pt idx="3">
                  <c:v>Субсидии юридическим лицам</c:v>
                </c:pt>
                <c:pt idx="4">
                  <c:v>Содержание подведомственной сети учреждений</c:v>
                </c:pt>
                <c:pt idx="5">
                  <c:v>Прочие расходы</c:v>
                </c:pt>
              </c:strCache>
            </c:strRef>
          </c:cat>
          <c:val>
            <c:numRef>
              <c:f>Лист1!$B$2:$B$7</c:f>
              <c:numCache>
                <c:formatCode>0.0</c:formatCode>
                <c:ptCount val="6"/>
                <c:pt idx="0">
                  <c:v>76265.2</c:v>
                </c:pt>
                <c:pt idx="1">
                  <c:v>9437</c:v>
                </c:pt>
                <c:pt idx="2">
                  <c:v>36657.9</c:v>
                </c:pt>
                <c:pt idx="3">
                  <c:v>1415576</c:v>
                </c:pt>
                <c:pt idx="4">
                  <c:v>124342.3</c:v>
                </c:pt>
                <c:pt idx="5">
                  <c:v>134848</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9.1279411991309303E-2"/>
          <c:w val="0.82407407407407407"/>
          <c:h val="0.79656531033621214"/>
        </c:manualLayout>
      </c:layout>
      <c:pie3DChart>
        <c:varyColors val="1"/>
        <c:ser>
          <c:idx val="0"/>
          <c:order val="0"/>
          <c:tx>
            <c:strRef>
              <c:f>Лист1!$B$1</c:f>
              <c:strCache>
                <c:ptCount val="1"/>
                <c:pt idx="0">
                  <c:v>Столбец1</c:v>
                </c:pt>
              </c:strCache>
            </c:strRef>
          </c:tx>
          <c:spPr>
            <a:ln w="12700">
              <a:solidFill>
                <a:sysClr val="windowText" lastClr="000000"/>
              </a:solidFill>
            </a:ln>
          </c:spPr>
          <c:explosion val="25"/>
          <c:dPt>
            <c:idx val="0"/>
            <c:bubble3D val="0"/>
            <c:spPr>
              <a:solidFill>
                <a:schemeClr val="accent5">
                  <a:lumMod val="60000"/>
                  <a:lumOff val="40000"/>
                </a:schemeClr>
              </a:solidFill>
              <a:ln w="12700">
                <a:solidFill>
                  <a:sysClr val="windowText" lastClr="000000"/>
                </a:solidFill>
              </a:ln>
            </c:spPr>
          </c:dPt>
          <c:dPt>
            <c:idx val="2"/>
            <c:bubble3D val="0"/>
            <c:explosion val="18"/>
            <c:spPr>
              <a:solidFill>
                <a:srgbClr val="92D050"/>
              </a:solidFill>
              <a:ln w="12700">
                <a:solidFill>
                  <a:sysClr val="windowText" lastClr="000000"/>
                </a:solidFill>
              </a:ln>
            </c:spPr>
          </c:dPt>
          <c:dPt>
            <c:idx val="3"/>
            <c:bubble3D val="0"/>
            <c:explosion val="6"/>
            <c:spPr>
              <a:solidFill>
                <a:srgbClr val="7030A0"/>
              </a:solidFill>
              <a:ln w="12700">
                <a:solidFill>
                  <a:sysClr val="windowText" lastClr="000000"/>
                </a:solidFill>
              </a:ln>
            </c:spPr>
          </c:dPt>
          <c:dPt>
            <c:idx val="4"/>
            <c:bubble3D val="0"/>
            <c:spPr>
              <a:solidFill>
                <a:srgbClr val="FFC000"/>
              </a:solidFill>
              <a:ln w="12700">
                <a:solidFill>
                  <a:sysClr val="windowText" lastClr="000000"/>
                </a:solidFill>
              </a:ln>
            </c:spPr>
          </c:dPt>
          <c:dPt>
            <c:idx val="5"/>
            <c:bubble3D val="0"/>
            <c:spPr>
              <a:solidFill>
                <a:srgbClr val="FF0000"/>
              </a:solidFill>
              <a:ln w="12700">
                <a:solidFill>
                  <a:sysClr val="windowText" lastClr="000000"/>
                </a:solidFill>
              </a:ln>
            </c:spPr>
          </c:dPt>
          <c:dLbls>
            <c:dLbl>
              <c:idx val="0"/>
              <c:layout>
                <c:manualLayout>
                  <c:x val="0.14603540372149967"/>
                  <c:y val="2.2282482069420465E-2"/>
                </c:manualLayout>
              </c:layout>
              <c:tx>
                <c:rich>
                  <a:bodyPr/>
                  <a:lstStyle/>
                  <a:p>
                    <a:r>
                      <a:rPr lang="ru-RU"/>
                      <a:t>Содержание и развитие сети учреждений социального обслуживания населения; 1807,1</a:t>
                    </a:r>
                  </a:p>
                </c:rich>
              </c:tx>
              <c:showLegendKey val="1"/>
              <c:showVal val="1"/>
              <c:showCatName val="1"/>
              <c:showSerName val="0"/>
              <c:showPercent val="0"/>
              <c:showBubbleSize val="0"/>
            </c:dLbl>
            <c:dLbl>
              <c:idx val="1"/>
              <c:layout>
                <c:manualLayout>
                  <c:x val="-1.0850124973724399E-2"/>
                  <c:y val="0.12870578533935639"/>
                </c:manualLayout>
              </c:layout>
              <c:tx>
                <c:rich>
                  <a:bodyPr/>
                  <a:lstStyle/>
                  <a:p>
                    <a:r>
                      <a:rPr lang="ru-RU"/>
                      <a:t>Расходы на обеспечение функций исполнительных органов государственной власти; 56,2</a:t>
                    </a:r>
                  </a:p>
                </c:rich>
              </c:tx>
              <c:showLegendKey val="1"/>
              <c:showVal val="1"/>
              <c:showCatName val="1"/>
              <c:showSerName val="0"/>
              <c:showPercent val="0"/>
              <c:showBubbleSize val="0"/>
            </c:dLbl>
            <c:dLbl>
              <c:idx val="2"/>
              <c:layout>
                <c:manualLayout>
                  <c:x val="-7.9855825313502396E-2"/>
                  <c:y val="0.15179643954482994"/>
                </c:manualLayout>
              </c:layout>
              <c:tx>
                <c:rich>
                  <a:bodyPr/>
                  <a:lstStyle/>
                  <a:p>
                    <a:r>
                      <a:rPr lang="ru-RU"/>
                      <a:t>Социальная поддержка семьи и детей; 2562,8</a:t>
                    </a:r>
                  </a:p>
                </c:rich>
              </c:tx>
              <c:showLegendKey val="1"/>
              <c:showVal val="1"/>
              <c:showCatName val="1"/>
              <c:showSerName val="0"/>
              <c:showPercent val="0"/>
              <c:showBubbleSize val="0"/>
            </c:dLbl>
            <c:dLbl>
              <c:idx val="3"/>
              <c:layout>
                <c:manualLayout>
                  <c:x val="4.9153703337425039E-2"/>
                  <c:y val="0.33500044601584539"/>
                </c:manualLayout>
              </c:layout>
              <c:tx>
                <c:rich>
                  <a:bodyPr/>
                  <a:lstStyle/>
                  <a:p>
                    <a:r>
                      <a:rPr lang="ru-RU"/>
                      <a:t>Социальная поддержка отдельных категорий граждан; 3988,3</a:t>
                    </a:r>
                  </a:p>
                </c:rich>
              </c:tx>
              <c:showLegendKey val="1"/>
              <c:showVal val="1"/>
              <c:showCatName val="1"/>
              <c:showSerName val="0"/>
              <c:showPercent val="0"/>
              <c:showBubbleSize val="0"/>
            </c:dLbl>
            <c:dLbl>
              <c:idx val="4"/>
              <c:layout>
                <c:manualLayout>
                  <c:x val="-0.17477992167911918"/>
                  <c:y val="1.7825311942959002E-2"/>
                </c:manualLayout>
              </c:layout>
              <c:tx>
                <c:rich>
                  <a:bodyPr/>
                  <a:lstStyle/>
                  <a:p>
                    <a:r>
                      <a:rPr lang="ru-RU"/>
                      <a:t>Реабилитация и обеспечение жизнедеятельности инвалидов; 43,2</a:t>
                    </a:r>
                  </a:p>
                </c:rich>
              </c:tx>
              <c:showLegendKey val="1"/>
              <c:showVal val="1"/>
              <c:showCatName val="1"/>
              <c:showSerName val="0"/>
              <c:showPercent val="0"/>
              <c:showBubbleSize val="0"/>
            </c:dLbl>
            <c:dLbl>
              <c:idx val="5"/>
              <c:layout>
                <c:manualLayout>
                  <c:x val="0.21224237545386698"/>
                  <c:y val="0"/>
                </c:manualLayout>
              </c:layout>
              <c:tx>
                <c:rich>
                  <a:bodyPr/>
                  <a:lstStyle/>
                  <a:p>
                    <a:r>
                      <a:rPr lang="ru-RU"/>
                      <a:t>Пересылка (доставка, перечисление) денежных выплат отдельным категориям граждан; 62,2</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Лист1!$A$2:$A$7</c:f>
              <c:strCache>
                <c:ptCount val="6"/>
                <c:pt idx="0">
                  <c:v>Расходы на содержание и развитие сети учреждений социального обслуживания населения</c:v>
                </c:pt>
                <c:pt idx="1">
                  <c:v>Расходы на обеспечение функций исполнительных органов государственной власти</c:v>
                </c:pt>
                <c:pt idx="2">
                  <c:v>Социальная поддержка семьи и детей</c:v>
                </c:pt>
                <c:pt idx="3">
                  <c:v>Социальная поддержка отдельных категорий граждан</c:v>
                </c:pt>
                <c:pt idx="4">
                  <c:v>Реабилитация и обеспечение жизнедеятельности инвалидов</c:v>
                </c:pt>
                <c:pt idx="5">
                  <c:v>Пересылка (доставка, перечисление) денежных выплат отдельным категориям граждан</c:v>
                </c:pt>
              </c:strCache>
            </c:strRef>
          </c:cat>
          <c:val>
            <c:numRef>
              <c:f>Лист1!$B$2:$B$7</c:f>
              <c:numCache>
                <c:formatCode>General</c:formatCode>
                <c:ptCount val="6"/>
                <c:pt idx="0">
                  <c:v>1807.1</c:v>
                </c:pt>
                <c:pt idx="1">
                  <c:v>56.2</c:v>
                </c:pt>
                <c:pt idx="2">
                  <c:v>2562.8000000000002</c:v>
                </c:pt>
                <c:pt idx="3">
                  <c:v>3988.3</c:v>
                </c:pt>
                <c:pt idx="4">
                  <c:v>43.2</c:v>
                </c:pt>
                <c:pt idx="5">
                  <c:v>62.2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80"/>
      <c:rotY val="0"/>
      <c:rAngAx val="0"/>
      <c:perspective val="30"/>
    </c:view3D>
    <c:floor>
      <c:thickness val="0"/>
    </c:floor>
    <c:sideWall>
      <c:thickness val="0"/>
    </c:sideWall>
    <c:backWall>
      <c:thickness val="0"/>
    </c:backWall>
    <c:plotArea>
      <c:layout>
        <c:manualLayout>
          <c:layoutTarget val="inner"/>
          <c:xMode val="edge"/>
          <c:yMode val="edge"/>
          <c:x val="0.17592593949012186"/>
          <c:y val="0.15170912459471977"/>
          <c:w val="0.82407407407407407"/>
          <c:h val="0.79656531033621214"/>
        </c:manualLayout>
      </c:layout>
      <c:pie3DChart>
        <c:varyColors val="1"/>
        <c:ser>
          <c:idx val="0"/>
          <c:order val="0"/>
          <c:tx>
            <c:strRef>
              <c:f>Лист1!$B$1</c:f>
              <c:strCache>
                <c:ptCount val="1"/>
                <c:pt idx="0">
                  <c:v>Столбец1</c:v>
                </c:pt>
              </c:strCache>
            </c:strRef>
          </c:tx>
          <c:spPr>
            <a:ln w="19050">
              <a:solidFill>
                <a:sysClr val="windowText" lastClr="000000"/>
              </a:solidFill>
            </a:ln>
          </c:spPr>
          <c:explosion val="25"/>
          <c:dPt>
            <c:idx val="0"/>
            <c:bubble3D val="0"/>
            <c:explosion val="0"/>
            <c:spPr>
              <a:gradFill>
                <a:gsLst>
                  <a:gs pos="47100">
                    <a:srgbClr val="12B3E3"/>
                  </a:gs>
                  <a:gs pos="0">
                    <a:srgbClr val="03D4A8"/>
                  </a:gs>
                  <a:gs pos="25000">
                    <a:srgbClr val="21D6E0"/>
                  </a:gs>
                  <a:gs pos="75000">
                    <a:srgbClr val="0087E6"/>
                  </a:gs>
                  <a:gs pos="100000">
                    <a:srgbClr val="005CBF"/>
                  </a:gs>
                </a:gsLst>
                <a:lin ang="7200000" scaled="0"/>
              </a:gradFill>
              <a:ln w="19050">
                <a:solidFill>
                  <a:sysClr val="windowText" lastClr="000000"/>
                </a:solidFill>
              </a:ln>
            </c:spPr>
          </c:dPt>
          <c:dPt>
            <c:idx val="1"/>
            <c:bubble3D val="0"/>
            <c:spPr>
              <a:solidFill>
                <a:schemeClr val="accent6">
                  <a:lumMod val="75000"/>
                </a:schemeClr>
              </a:solidFill>
              <a:ln w="19050">
                <a:solidFill>
                  <a:sysClr val="windowText" lastClr="000000"/>
                </a:solidFill>
              </a:ln>
            </c:spPr>
          </c:dPt>
          <c:dPt>
            <c:idx val="2"/>
            <c:bubble3D val="0"/>
            <c:spPr>
              <a:solidFill>
                <a:srgbClr val="00B050"/>
              </a:solidFill>
              <a:ln w="19050">
                <a:solidFill>
                  <a:sysClr val="windowText" lastClr="000000"/>
                </a:solidFill>
              </a:ln>
            </c:spPr>
          </c:dPt>
          <c:dPt>
            <c:idx val="3"/>
            <c:bubble3D val="0"/>
            <c:spPr>
              <a:solidFill>
                <a:schemeClr val="tx2">
                  <a:lumMod val="75000"/>
                </a:schemeClr>
              </a:solidFill>
              <a:ln w="19050">
                <a:solidFill>
                  <a:sysClr val="windowText" lastClr="000000"/>
                </a:solidFill>
              </a:ln>
            </c:spPr>
          </c:dPt>
          <c:dPt>
            <c:idx val="4"/>
            <c:bubble3D val="0"/>
            <c:spPr>
              <a:solidFill>
                <a:srgbClr val="FFC000"/>
              </a:solidFill>
              <a:ln w="19050">
                <a:solidFill>
                  <a:sysClr val="windowText" lastClr="000000"/>
                </a:solidFill>
              </a:ln>
            </c:spPr>
          </c:dPt>
          <c:dLbls>
            <c:dLbl>
              <c:idx val="0"/>
              <c:layout>
                <c:manualLayout>
                  <c:x val="3.6218844737431075E-2"/>
                  <c:y val="-0.16778531025867754"/>
                </c:manualLayout>
              </c:layout>
              <c:tx>
                <c:rich>
                  <a:bodyPr/>
                  <a:lstStyle/>
                  <a:p>
                    <a:r>
                      <a:rPr lang="ru-RU"/>
                      <a:t>Расходы на обеспечение деятельности государственных учреждений; 232,9</a:t>
                    </a:r>
                  </a:p>
                </c:rich>
              </c:tx>
              <c:showLegendKey val="1"/>
              <c:showVal val="1"/>
              <c:showCatName val="1"/>
              <c:showSerName val="0"/>
              <c:showPercent val="0"/>
              <c:showBubbleSize val="0"/>
            </c:dLbl>
            <c:dLbl>
              <c:idx val="1"/>
              <c:layout>
                <c:manualLayout>
                  <c:x val="0.10686915298378401"/>
                  <c:y val="0.14634665319241513"/>
                </c:manualLayout>
              </c:layout>
              <c:tx>
                <c:rich>
                  <a:bodyPr/>
                  <a:lstStyle/>
                  <a:p>
                    <a:r>
                      <a:rPr lang="ru-RU"/>
                      <a:t>Расходы на обеспечение функций исполнительных органов государственной власти; 25,2</a:t>
                    </a:r>
                  </a:p>
                </c:rich>
              </c:tx>
              <c:showLegendKey val="1"/>
              <c:showVal val="1"/>
              <c:showCatName val="1"/>
              <c:showSerName val="0"/>
              <c:showPercent val="0"/>
              <c:showBubbleSize val="0"/>
            </c:dLbl>
            <c:dLbl>
              <c:idx val="2"/>
              <c:layout>
                <c:manualLayout>
                  <c:x val="-0.13346208468127529"/>
                  <c:y val="1.6317599337515965E-2"/>
                </c:manualLayout>
              </c:layout>
              <c:tx>
                <c:rich>
                  <a:bodyPr/>
                  <a:lstStyle/>
                  <a:p>
                    <a:r>
                      <a:rPr lang="ru-RU"/>
                      <a:t>Организация и проведение мероприятий по реализации государственной программы; 63,0</a:t>
                    </a:r>
                  </a:p>
                </c:rich>
              </c:tx>
              <c:showLegendKey val="1"/>
              <c:showVal val="1"/>
              <c:showCatName val="1"/>
              <c:showSerName val="0"/>
              <c:showPercent val="0"/>
              <c:showBubbleSize val="0"/>
            </c:dLbl>
            <c:dLbl>
              <c:idx val="3"/>
              <c:layout>
                <c:manualLayout>
                  <c:x val="-4.5478036175710612E-2"/>
                  <c:y val="-0.19462012435611323"/>
                </c:manualLayout>
              </c:layout>
              <c:tx>
                <c:rich>
                  <a:bodyPr/>
                  <a:lstStyle/>
                  <a:p>
                    <a:r>
                      <a:rPr lang="ru-RU"/>
                      <a:t>Обеспечение развития и укрепления материально-технической базы муниципальных домов культуры; 22,3</a:t>
                    </a:r>
                  </a:p>
                </c:rich>
              </c:tx>
              <c:showLegendKey val="1"/>
              <c:showVal val="1"/>
              <c:showCatName val="1"/>
              <c:showSerName val="0"/>
              <c:showPercent val="0"/>
              <c:showBubbleSize val="0"/>
            </c:dLbl>
            <c:dLbl>
              <c:idx val="4"/>
              <c:layout>
                <c:manualLayout>
                  <c:x val="0.13826846204042725"/>
                  <c:y val="0"/>
                </c:manualLayout>
              </c:layout>
              <c:tx>
                <c:rich>
                  <a:bodyPr/>
                  <a:lstStyle/>
                  <a:p>
                    <a:r>
                      <a:rPr lang="ru-RU"/>
                      <a:t>Капитальные вложения в объекты государственной и муниципальной собственности; 14,8</a:t>
                    </a:r>
                  </a:p>
                </c:rich>
              </c:tx>
              <c:showLegendKey val="1"/>
              <c:showVal val="1"/>
              <c:showCatName val="1"/>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Лист1!$A$2:$A$6</c:f>
              <c:strCache>
                <c:ptCount val="5"/>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Организация и проведение мероприятий по  реализации государственной программы</c:v>
                </c:pt>
                <c:pt idx="3">
                  <c:v>Обеспечение развития и укрепления материально-технической базы муниципальных домов культуры</c:v>
                </c:pt>
                <c:pt idx="4">
                  <c:v>Капитальные вложения в объекты государственной и муниципальной собственности</c:v>
                </c:pt>
              </c:strCache>
            </c:strRef>
          </c:cat>
          <c:val>
            <c:numRef>
              <c:f>Лист1!$B$2:$B$6</c:f>
              <c:numCache>
                <c:formatCode>General</c:formatCode>
                <c:ptCount val="5"/>
                <c:pt idx="0">
                  <c:v>232.9</c:v>
                </c:pt>
                <c:pt idx="1">
                  <c:v>25.2</c:v>
                </c:pt>
                <c:pt idx="2">
                  <c:v>63</c:v>
                </c:pt>
                <c:pt idx="3">
                  <c:v>22.3</c:v>
                </c:pt>
                <c:pt idx="4">
                  <c:v>14.8</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230"/>
      <c:rAngAx val="0"/>
      <c:perspective val="30"/>
    </c:view3D>
    <c:floor>
      <c:thickness val="0"/>
    </c:floor>
    <c:sideWall>
      <c:thickness val="0"/>
    </c:sideWall>
    <c:backWall>
      <c:thickness val="0"/>
    </c:backWall>
    <c:plotArea>
      <c:layout>
        <c:manualLayout>
          <c:layoutTarget val="inner"/>
          <c:xMode val="edge"/>
          <c:yMode val="edge"/>
          <c:x val="0.23613706620005834"/>
          <c:y val="0.12035542097012034"/>
          <c:w val="0.52735608974192172"/>
          <c:h val="0.85097870544919996"/>
        </c:manualLayout>
      </c:layout>
      <c:pie3DChart>
        <c:varyColors val="1"/>
        <c:ser>
          <c:idx val="0"/>
          <c:order val="0"/>
          <c:spPr>
            <a:ln>
              <a:solidFill>
                <a:schemeClr val="tx1"/>
              </a:solidFill>
            </a:ln>
          </c:spPr>
          <c:explosion val="25"/>
          <c:dPt>
            <c:idx val="0"/>
            <c:bubble3D val="0"/>
            <c:explosion val="27"/>
            <c:spPr>
              <a:solidFill>
                <a:srgbClr val="00FF99"/>
              </a:solidFill>
              <a:ln>
                <a:solidFill>
                  <a:schemeClr val="tx1"/>
                </a:solidFill>
              </a:ln>
            </c:spPr>
          </c:dPt>
          <c:dPt>
            <c:idx val="1"/>
            <c:bubble3D val="0"/>
            <c:explosion val="0"/>
            <c:spPr>
              <a:solidFill>
                <a:srgbClr val="00FFFF"/>
              </a:solidFill>
              <a:ln>
                <a:solidFill>
                  <a:schemeClr val="tx1"/>
                </a:solidFill>
              </a:ln>
            </c:spPr>
          </c:dPt>
          <c:dPt>
            <c:idx val="2"/>
            <c:bubble3D val="0"/>
            <c:explosion val="22"/>
            <c:spPr>
              <a:gradFill>
                <a:gsLst>
                  <a:gs pos="0">
                    <a:srgbClr val="66CCFF">
                      <a:shade val="30000"/>
                      <a:satMod val="115000"/>
                    </a:srgbClr>
                  </a:gs>
                  <a:gs pos="50000">
                    <a:srgbClr val="66CCFF">
                      <a:shade val="67500"/>
                      <a:satMod val="115000"/>
                    </a:srgbClr>
                  </a:gs>
                  <a:gs pos="100000">
                    <a:srgbClr val="66CCFF">
                      <a:shade val="100000"/>
                      <a:satMod val="115000"/>
                    </a:srgbClr>
                  </a:gs>
                </a:gsLst>
                <a:path path="circle">
                  <a:fillToRect l="50000" t="50000" r="50000" b="50000"/>
                </a:path>
              </a:gradFill>
              <a:ln>
                <a:solidFill>
                  <a:schemeClr val="tx1"/>
                </a:solidFill>
              </a:ln>
            </c:spPr>
          </c:dPt>
          <c:dPt>
            <c:idx val="3"/>
            <c:bubble3D val="0"/>
            <c:explosion val="38"/>
            <c:spPr>
              <a:solidFill>
                <a:srgbClr val="EA36E1"/>
              </a:solidFill>
              <a:ln>
                <a:solidFill>
                  <a:schemeClr val="tx1"/>
                </a:solidFill>
              </a:ln>
            </c:spPr>
          </c:dPt>
          <c:dLbls>
            <c:dLbl>
              <c:idx val="0"/>
              <c:layout>
                <c:manualLayout>
                  <c:x val="-4.0716811557246296E-2"/>
                  <c:y val="-0.13353657258480528"/>
                </c:manualLayout>
              </c:layout>
              <c:tx>
                <c:rich>
                  <a:bodyPr/>
                  <a:lstStyle/>
                  <a:p>
                    <a:r>
                      <a:rPr lang="ru-RU" sz="900" b="1">
                        <a:latin typeface="Times New Roman" pitchFamily="18" charset="0"/>
                        <a:cs typeface="Times New Roman" pitchFamily="18" charset="0"/>
                      </a:rPr>
                      <a:t>Содержание органов государственной власти</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77,1</a:t>
                    </a:r>
                    <a:endParaRPr lang="ru-RU"/>
                  </a:p>
                </c:rich>
              </c:tx>
              <c:showLegendKey val="0"/>
              <c:showVal val="1"/>
              <c:showCatName val="1"/>
              <c:showSerName val="0"/>
              <c:showPercent val="1"/>
              <c:showBubbleSize val="0"/>
            </c:dLbl>
            <c:dLbl>
              <c:idx val="1"/>
              <c:layout>
                <c:manualLayout>
                  <c:x val="1.2419390791707107E-2"/>
                  <c:y val="-0.19086550358064225"/>
                </c:manualLayout>
              </c:layout>
              <c:tx>
                <c:rich>
                  <a:bodyPr/>
                  <a:lstStyle/>
                  <a:p>
                    <a:r>
                      <a:rPr lang="ru-RU" sz="900" b="1">
                        <a:latin typeface="Times New Roman" pitchFamily="18" charset="0"/>
                        <a:cs typeface="Times New Roman" pitchFamily="18" charset="0"/>
                      </a:rPr>
                      <a:t>Расходы на обеспечение деятельности (оказание услуг) государственных учреждений</a:t>
                    </a:r>
                    <a:r>
                      <a:rPr lang="en-US" sz="900" b="1">
                        <a:latin typeface="Times New Roman" pitchFamily="18" charset="0"/>
                        <a:cs typeface="Times New Roman" pitchFamily="18" charset="0"/>
                      </a:rPr>
                      <a:t>:</a:t>
                    </a:r>
                    <a:endParaRPr lang="ru-RU" sz="900" b="1">
                      <a:latin typeface="Times New Roman" pitchFamily="18" charset="0"/>
                      <a:cs typeface="Times New Roman" pitchFamily="18" charset="0"/>
                    </a:endParaRPr>
                  </a:p>
                  <a:p>
                    <a:r>
                      <a:rPr lang="ru-RU" sz="900" b="1">
                        <a:latin typeface="Times New Roman" pitchFamily="18" charset="0"/>
                        <a:cs typeface="Times New Roman" pitchFamily="18" charset="0"/>
                      </a:rPr>
                      <a:t> 55,9</a:t>
                    </a:r>
                    <a:endParaRPr lang="ru-RU"/>
                  </a:p>
                </c:rich>
              </c:tx>
              <c:showLegendKey val="0"/>
              <c:showVal val="1"/>
              <c:showCatName val="1"/>
              <c:showSerName val="0"/>
              <c:showPercent val="1"/>
              <c:showBubbleSize val="0"/>
            </c:dLbl>
            <c:dLbl>
              <c:idx val="2"/>
              <c:layout>
                <c:manualLayout>
                  <c:x val="3.9389074356926082E-2"/>
                  <c:y val="-6.0618434230215686E-2"/>
                </c:manualLayout>
              </c:layout>
              <c:tx>
                <c:rich>
                  <a:bodyPr/>
                  <a:lstStyle/>
                  <a:p>
                    <a:r>
                      <a:rPr lang="ru-RU" sz="900" b="1"/>
                      <a:t> Осуществление переданных органам государственной власти субъектов Российской Федерации полномочий Российской Федерации</a:t>
                    </a:r>
                    <a:r>
                      <a:rPr lang="en-US" sz="900" b="1"/>
                      <a:t>:</a:t>
                    </a:r>
                    <a:endParaRPr lang="ru-RU" sz="900" b="1"/>
                  </a:p>
                  <a:p>
                    <a:r>
                      <a:rPr lang="ru-RU" sz="900" b="1"/>
                      <a:t> 447,3</a:t>
                    </a:r>
                    <a:endParaRPr lang="ru-RU"/>
                  </a:p>
                </c:rich>
              </c:tx>
              <c:showLegendKey val="0"/>
              <c:showVal val="1"/>
              <c:showCatName val="1"/>
              <c:showSerName val="0"/>
              <c:showPercent val="1"/>
              <c:showBubbleSize val="0"/>
            </c:dLbl>
            <c:dLbl>
              <c:idx val="3"/>
              <c:layout>
                <c:manualLayout>
                  <c:x val="3.6709661135584798E-3"/>
                  <c:y val="5.9612854542380939E-2"/>
                </c:manualLayout>
              </c:layout>
              <c:tx>
                <c:rich>
                  <a:bodyPr/>
                  <a:lstStyle/>
                  <a:p>
                    <a:r>
                      <a:rPr lang="ru-RU" sz="900" b="1">
                        <a:latin typeface="Times New Roman" pitchFamily="18" charset="0"/>
                        <a:cs typeface="Times New Roman" pitchFamily="18" charset="0"/>
                      </a:rPr>
                      <a:t>Прочие</a:t>
                    </a:r>
                    <a:r>
                      <a:rPr lang="en-US" sz="900" b="1">
                        <a:latin typeface="Times New Roman" pitchFamily="18" charset="0"/>
                        <a:cs typeface="Times New Roman" pitchFamily="18" charset="0"/>
                      </a:rPr>
                      <a:t>:</a:t>
                    </a:r>
                    <a:r>
                      <a:rPr lang="ru-RU" sz="900" b="1">
                        <a:latin typeface="Times New Roman" pitchFamily="18" charset="0"/>
                        <a:cs typeface="Times New Roman" pitchFamily="18" charset="0"/>
                      </a:rPr>
                      <a:t> 5,7</a:t>
                    </a:r>
                    <a:endParaRPr lang="ru-RU"/>
                  </a:p>
                </c:rich>
              </c:tx>
              <c:showLegendKey val="0"/>
              <c:showVal val="1"/>
              <c:showCatName val="1"/>
              <c:showSerName val="0"/>
              <c:showPercent val="1"/>
              <c:showBubbleSize val="0"/>
            </c:dLbl>
            <c:dLbl>
              <c:idx val="4"/>
              <c:layout>
                <c:manualLayout>
                  <c:x val="-0.16936789151356077"/>
                  <c:y val="-1.6016046717047795E-2"/>
                </c:manualLayout>
              </c:layout>
              <c:tx>
                <c:rich>
                  <a:bodyPr/>
                  <a:lstStyle/>
                  <a:p>
                    <a:r>
                      <a:rPr lang="ru-RU" sz="900" b="1">
                        <a:latin typeface="Times New Roman" pitchFamily="18" charset="0"/>
                        <a:cs typeface="Times New Roman" pitchFamily="18" charset="0"/>
                      </a:rPr>
                      <a:t>П</a:t>
                    </a:r>
                    <a:r>
                      <a:rPr lang="ru-RU" sz="900" b="1"/>
                      <a:t>рочие расходы; 6334,9 </a:t>
                    </a:r>
                  </a:p>
                  <a:p>
                    <a:r>
                      <a:rPr lang="ru-RU" sz="900" b="1"/>
                      <a:t>тыс. руб.</a:t>
                    </a:r>
                    <a:endParaRPr lang="ru-RU"/>
                  </a:p>
                </c:rich>
              </c:tx>
              <c:showLegendKey val="0"/>
              <c:showVal val="1"/>
              <c:showCatName val="1"/>
              <c:showSerName val="0"/>
              <c:showPercent val="1"/>
              <c:showBubbleSize val="0"/>
            </c:dLbl>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Лист2!$A$2:$A$6</c:f>
              <c:strCache>
                <c:ptCount val="4"/>
                <c:pt idx="0">
                  <c:v>Содержание органов государственной власти</c:v>
                </c:pt>
                <c:pt idx="1">
                  <c:v>Расходы на обеспечение деятельности (оказание услуг) государственных учреждений</c:v>
                </c:pt>
                <c:pt idx="2">
                  <c:v>Осуществление переданных органам государственной власти субъектов Российской Федерации полномочий Российской Федерации</c:v>
                </c:pt>
                <c:pt idx="3">
                  <c:v>Прочие</c:v>
                </c:pt>
              </c:strCache>
            </c:strRef>
          </c:cat>
          <c:val>
            <c:numRef>
              <c:f>Лист2!$B$2:$B$6</c:f>
              <c:numCache>
                <c:formatCode>0.0</c:formatCode>
                <c:ptCount val="5"/>
                <c:pt idx="0">
                  <c:v>77077.600000000006</c:v>
                </c:pt>
                <c:pt idx="1">
                  <c:v>55887.1</c:v>
                </c:pt>
                <c:pt idx="2">
                  <c:v>447276.7</c:v>
                </c:pt>
                <c:pt idx="3">
                  <c:v>5713.4</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
      <c:rAngAx val="0"/>
      <c:perspective val="0"/>
    </c:view3D>
    <c:floor>
      <c:thickness val="0"/>
    </c:floor>
    <c:sideWall>
      <c:thickness val="0"/>
    </c:sideWall>
    <c:backWall>
      <c:thickness val="0"/>
    </c:backWall>
    <c:plotArea>
      <c:layout>
        <c:manualLayout>
          <c:layoutTarget val="inner"/>
          <c:xMode val="edge"/>
          <c:yMode val="edge"/>
          <c:x val="0"/>
          <c:y val="0"/>
          <c:w val="0.65454768446647493"/>
          <c:h val="0.99037813288044874"/>
        </c:manualLayout>
      </c:layout>
      <c:pie3DChart>
        <c:varyColors val="1"/>
        <c:ser>
          <c:idx val="0"/>
          <c:order val="0"/>
          <c:tx>
            <c:strRef>
              <c:f>Лист1!$B$1</c:f>
              <c:strCache>
                <c:ptCount val="1"/>
                <c:pt idx="0">
                  <c:v>тыс. рублей</c:v>
                </c:pt>
              </c:strCache>
            </c:strRef>
          </c:tx>
          <c:spPr>
            <a:ln>
              <a:solidFill>
                <a:schemeClr val="accent1"/>
              </a:solidFill>
            </a:ln>
            <a:effectLst>
              <a:innerShdw blurRad="63500" dist="50800" dir="5400000">
                <a:prstClr val="black">
                  <a:alpha val="50000"/>
                </a:prstClr>
              </a:innerShdw>
            </a:effectLst>
          </c:spPr>
          <c:explosion val="25"/>
          <c:dPt>
            <c:idx val="0"/>
            <c:bubble3D val="0"/>
            <c:explosion val="21"/>
            <c:spPr>
              <a:solidFill>
                <a:srgbClr val="FFFF00"/>
              </a:solidFill>
              <a:ln>
                <a:solidFill>
                  <a:schemeClr val="accent1"/>
                </a:solidFill>
              </a:ln>
              <a:effectLst>
                <a:innerShdw blurRad="63500" dist="50800" dir="5400000">
                  <a:prstClr val="black">
                    <a:alpha val="50000"/>
                  </a:prstClr>
                </a:innerShdw>
              </a:effectLst>
              <a:scene3d>
                <a:camera prst="orthographicFront"/>
                <a:lightRig rig="threePt" dir="t"/>
              </a:scene3d>
              <a:sp3d>
                <a:bevelT/>
              </a:sp3d>
            </c:spPr>
          </c:dPt>
          <c:dPt>
            <c:idx val="1"/>
            <c:bubble3D val="0"/>
            <c:explosion val="41"/>
            <c:spPr>
              <a:solidFill>
                <a:srgbClr val="00B050"/>
              </a:solidFill>
              <a:ln>
                <a:solidFill>
                  <a:schemeClr val="accent1"/>
                </a:solidFill>
              </a:ln>
              <a:effectLst>
                <a:innerShdw blurRad="63500" dist="50800" dir="5400000">
                  <a:prstClr val="black">
                    <a:alpha val="50000"/>
                  </a:prstClr>
                </a:innerShdw>
              </a:effectLst>
              <a:scene3d>
                <a:camera prst="orthographicFront"/>
                <a:lightRig rig="threePt" dir="t"/>
              </a:scene3d>
              <a:sp3d>
                <a:bevelT/>
              </a:sp3d>
            </c:spPr>
          </c:dPt>
          <c:dPt>
            <c:idx val="2"/>
            <c:bubble3D val="0"/>
            <c:explosion val="20"/>
            <c:spPr>
              <a:solidFill>
                <a:srgbClr val="00B0F0"/>
              </a:solidFill>
              <a:ln>
                <a:solidFill>
                  <a:schemeClr val="accent1"/>
                </a:solidFill>
              </a:ln>
              <a:effectLst>
                <a:innerShdw blurRad="63500" dist="50800" dir="5400000">
                  <a:prstClr val="black">
                    <a:alpha val="50000"/>
                  </a:prstClr>
                </a:innerShdw>
              </a:effectLst>
              <a:scene3d>
                <a:camera prst="orthographicFront"/>
                <a:lightRig rig="threePt" dir="t"/>
              </a:scene3d>
              <a:sp3d>
                <a:bevelT/>
              </a:sp3d>
            </c:spPr>
          </c:dPt>
          <c:dPt>
            <c:idx val="3"/>
            <c:bubble3D val="0"/>
            <c:spPr>
              <a:solidFill>
                <a:srgbClr val="FF0000"/>
              </a:solidFill>
              <a:ln>
                <a:solidFill>
                  <a:schemeClr val="accent1"/>
                </a:solidFill>
              </a:ln>
              <a:effectLst>
                <a:innerShdw blurRad="63500" dist="50800" dir="5400000">
                  <a:prstClr val="black">
                    <a:alpha val="50000"/>
                  </a:prstClr>
                </a:innerShdw>
              </a:effectLst>
              <a:scene3d>
                <a:camera prst="orthographicFront"/>
                <a:lightRig rig="threePt" dir="t"/>
              </a:scene3d>
              <a:sp3d>
                <a:bevelT/>
              </a:sp3d>
            </c:spPr>
          </c:dPt>
          <c:dPt>
            <c:idx val="4"/>
            <c:bubble3D val="0"/>
            <c:explosion val="31"/>
            <c:spPr>
              <a:solidFill>
                <a:schemeClr val="tx2"/>
              </a:solidFill>
              <a:ln>
                <a:solidFill>
                  <a:schemeClr val="accent1"/>
                </a:solidFill>
              </a:ln>
              <a:effectLst>
                <a:innerShdw blurRad="63500" dist="50800" dir="5400000">
                  <a:prstClr val="black">
                    <a:alpha val="50000"/>
                  </a:prstClr>
                </a:innerShdw>
              </a:effectLst>
            </c:spPr>
          </c:dPt>
          <c:dLbls>
            <c:dLbl>
              <c:idx val="0"/>
              <c:layout>
                <c:manualLayout>
                  <c:x val="-8.5204828500353116E-2"/>
                  <c:y val="0.13421497864237558"/>
                </c:manualLayout>
              </c:layout>
              <c:showLegendKey val="0"/>
              <c:showVal val="1"/>
              <c:showCatName val="0"/>
              <c:showSerName val="0"/>
              <c:showPercent val="0"/>
              <c:showBubbleSize val="0"/>
            </c:dLbl>
            <c:dLbl>
              <c:idx val="1"/>
              <c:layout>
                <c:manualLayout>
                  <c:x val="4.5700024507478731E-2"/>
                  <c:y val="3.8599724666769593E-2"/>
                </c:manualLayout>
              </c:layout>
              <c:showLegendKey val="0"/>
              <c:showVal val="1"/>
              <c:showCatName val="0"/>
              <c:showSerName val="0"/>
              <c:showPercent val="0"/>
              <c:showBubbleSize val="0"/>
            </c:dLbl>
            <c:dLbl>
              <c:idx val="2"/>
              <c:layout>
                <c:manualLayout>
                  <c:x val="8.1014675499899835E-3"/>
                  <c:y val="-0.10975020585662086"/>
                </c:manualLayout>
              </c:layout>
              <c:showLegendKey val="0"/>
              <c:showVal val="1"/>
              <c:showCatName val="0"/>
              <c:showSerName val="0"/>
              <c:showPercent val="0"/>
              <c:showBubbleSize val="0"/>
            </c:dLbl>
            <c:dLbl>
              <c:idx val="3"/>
              <c:layout>
                <c:manualLayout>
                  <c:x val="-6.054714263879666E-2"/>
                  <c:y val="-2.3327414955483503E-2"/>
                </c:manualLayout>
              </c:layout>
              <c:showLegendKey val="0"/>
              <c:showVal val="1"/>
              <c:showCatName val="0"/>
              <c:showSerName val="0"/>
              <c:showPercent val="0"/>
              <c:showBubbleSize val="0"/>
            </c:dLbl>
            <c:dLbl>
              <c:idx val="4"/>
              <c:layout>
                <c:manualLayout>
                  <c:x val="5.0369090522695656E-2"/>
                  <c:y val="2.3053368328958889E-2"/>
                </c:manualLayout>
              </c:layout>
              <c:showLegendKey val="0"/>
              <c:showVal val="1"/>
              <c:showCatName val="0"/>
              <c:showSerName val="0"/>
              <c:showPercent val="0"/>
              <c:showBubbleSize val="0"/>
            </c:dLbl>
            <c:spPr>
              <a:ln>
                <a:solidFill>
                  <a:schemeClr val="accent1"/>
                </a:solidFill>
              </a:ln>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Субсидии юридическим лицам (кроме некоммерческих организаций)</c:v>
                </c:pt>
                <c:pt idx="1">
                  <c:v>Субсидии некоммерческим организациям</c:v>
                </c:pt>
                <c:pt idx="2">
                  <c:v>Межбюджетные трансферты</c:v>
                </c:pt>
                <c:pt idx="3">
                  <c:v>Обеспечение функций исполнительных органов власти</c:v>
                </c:pt>
                <c:pt idx="4">
                  <c:v>Прочие мероприятия, влияющие на повышение энергоэффективности </c:v>
                </c:pt>
              </c:strCache>
            </c:strRef>
          </c:cat>
          <c:val>
            <c:numRef>
              <c:f>Лист1!$B$2:$B$6</c:f>
              <c:numCache>
                <c:formatCode>General</c:formatCode>
                <c:ptCount val="5"/>
                <c:pt idx="0">
                  <c:v>1963.1</c:v>
                </c:pt>
                <c:pt idx="1">
                  <c:v>0.5</c:v>
                </c:pt>
                <c:pt idx="2">
                  <c:v>1310.8</c:v>
                </c:pt>
                <c:pt idx="3" formatCode="0.0">
                  <c:v>58.9</c:v>
                </c:pt>
                <c:pt idx="4" formatCode="0.0">
                  <c:v>0.5</c:v>
                </c:pt>
              </c:numCache>
            </c:numRef>
          </c:val>
        </c:ser>
        <c:dLbls>
          <c:showLegendKey val="0"/>
          <c:showVal val="0"/>
          <c:showCatName val="0"/>
          <c:showSerName val="0"/>
          <c:showPercent val="0"/>
          <c:showBubbleSize val="0"/>
          <c:showLeaderLines val="1"/>
        </c:dLbls>
      </c:pie3DChart>
      <c:spPr>
        <a:noFill/>
        <a:ln>
          <a:noFill/>
        </a:ln>
        <a:scene3d>
          <a:camera prst="orthographicFront"/>
          <a:lightRig rig="threePt" dir="t"/>
        </a:scene3d>
        <a:sp3d prstMaterial="translucentPowder"/>
      </c:spPr>
    </c:plotArea>
    <c:legend>
      <c:legendPos val="r"/>
      <c:layout>
        <c:manualLayout>
          <c:xMode val="edge"/>
          <c:yMode val="edge"/>
          <c:x val="0.65292453393915884"/>
          <c:y val="8.5340094876958678E-2"/>
          <c:w val="0.33455463164323779"/>
          <c:h val="0.80401672224169052"/>
        </c:manualLayout>
      </c:layout>
      <c:overlay val="0"/>
      <c:txPr>
        <a:bodyPr/>
        <a:lstStyle/>
        <a:p>
          <a:pPr>
            <a:defRPr sz="1100" baseline="0">
              <a:latin typeface="Times New Roman" pitchFamily="18" charset="0"/>
            </a:defRPr>
          </a:pPr>
          <a:endParaRPr lang="ru-RU"/>
        </a:p>
      </c:txPr>
    </c:legend>
    <c:plotVisOnly val="1"/>
    <c:dispBlanksAs val="gap"/>
    <c:showDLblsOverMax val="0"/>
  </c:chart>
  <c:spPr>
    <a:noFill/>
    <a:ln>
      <a:noFill/>
    </a:ln>
    <a:effectLst>
      <a:glow rad="228600">
        <a:schemeClr val="accent2">
          <a:satMod val="175000"/>
          <a:alpha val="40000"/>
        </a:schemeClr>
      </a:glow>
    </a:effectLst>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30"/>
      <c:rotY val="160"/>
      <c:rAngAx val="0"/>
      <c:perspective val="30"/>
    </c:view3D>
    <c:floor>
      <c:thickness val="0"/>
    </c:floor>
    <c:sideWall>
      <c:thickness val="0"/>
    </c:sideWall>
    <c:backWall>
      <c:thickness val="0"/>
    </c:backWall>
    <c:plotArea>
      <c:layout>
        <c:manualLayout>
          <c:layoutTarget val="inner"/>
          <c:xMode val="edge"/>
          <c:yMode val="edge"/>
          <c:x val="0.24819846079658919"/>
          <c:y val="1.4732227980708964E-2"/>
          <c:w val="0.61982862180837439"/>
          <c:h val="0.84865405664860638"/>
        </c:manualLayout>
      </c:layout>
      <c:pie3DChart>
        <c:varyColors val="1"/>
        <c:ser>
          <c:idx val="0"/>
          <c:order val="0"/>
          <c:explosion val="21"/>
          <c:dPt>
            <c:idx val="0"/>
            <c:bubble3D val="0"/>
            <c:spPr>
              <a:solidFill>
                <a:srgbClr val="F79646">
                  <a:alpha val="76078"/>
                </a:srgbClr>
              </a:solidFill>
            </c:spPr>
          </c:dPt>
          <c:dPt>
            <c:idx val="1"/>
            <c:bubble3D val="0"/>
          </c:dPt>
          <c:dPt>
            <c:idx val="2"/>
            <c:bubble3D val="0"/>
            <c:spPr>
              <a:solidFill>
                <a:srgbClr val="FF0000"/>
              </a:solidFill>
            </c:spPr>
          </c:dPt>
          <c:dPt>
            <c:idx val="3"/>
            <c:bubble3D val="0"/>
            <c:spPr>
              <a:solidFill>
                <a:srgbClr val="FF0000"/>
              </a:solidFill>
            </c:spPr>
          </c:dPt>
          <c:dPt>
            <c:idx val="4"/>
            <c:bubble3D val="0"/>
            <c:spPr>
              <a:solidFill>
                <a:schemeClr val="bg1"/>
              </a:solidFill>
            </c:spPr>
          </c:dPt>
          <c:dPt>
            <c:idx val="5"/>
            <c:bubble3D val="0"/>
            <c:spPr>
              <a:solidFill>
                <a:srgbClr val="FFFF00"/>
              </a:solidFill>
            </c:spPr>
          </c:dPt>
          <c:dPt>
            <c:idx val="6"/>
            <c:bubble3D val="0"/>
            <c:spPr>
              <a:solidFill>
                <a:srgbClr val="FF00FF"/>
              </a:solidFill>
            </c:spPr>
          </c:dPt>
          <c:dPt>
            <c:idx val="7"/>
            <c:bubble3D val="0"/>
            <c:spPr>
              <a:solidFill>
                <a:srgbClr val="3399FF">
                  <a:alpha val="89020"/>
                </a:srgbClr>
              </a:solidFill>
            </c:spPr>
          </c:dPt>
          <c:dPt>
            <c:idx val="8"/>
            <c:bubble3D val="0"/>
            <c:spPr>
              <a:solidFill>
                <a:srgbClr val="FF00FF"/>
              </a:solidFill>
            </c:spPr>
          </c:dPt>
          <c:dPt>
            <c:idx val="9"/>
            <c:bubble3D val="0"/>
            <c:spPr>
              <a:solidFill>
                <a:srgbClr val="00FFFF"/>
              </a:solidFill>
            </c:spPr>
          </c:dPt>
          <c:dPt>
            <c:idx val="10"/>
            <c:bubble3D val="0"/>
            <c:spPr>
              <a:solidFill>
                <a:srgbClr val="33CC33"/>
              </a:solidFill>
            </c:spPr>
          </c:dPt>
          <c:dLbls>
            <c:dLbl>
              <c:idx val="0"/>
              <c:layout>
                <c:manualLayout>
                  <c:x val="0.23260102525624726"/>
                  <c:y val="0.13087413961152247"/>
                </c:manualLayout>
              </c:layout>
              <c:tx>
                <c:rich>
                  <a:bodyPr/>
                  <a:lstStyle/>
                  <a:p>
                    <a:r>
                      <a:rPr lang="ru-RU" sz="800" b="1">
                        <a:latin typeface="Times New Roman" pitchFamily="18" charset="0"/>
                        <a:cs typeface="Times New Roman" pitchFamily="18" charset="0"/>
                      </a:rPr>
                      <a:t>Лекарственное обеспечение отдельных категорий граждан;</a:t>
                    </a:r>
                  </a:p>
                  <a:p>
                    <a:r>
                      <a:rPr lang="ru-RU" sz="800" b="1">
                        <a:latin typeface="Times New Roman" pitchFamily="18" charset="0"/>
                        <a:cs typeface="Times New Roman" pitchFamily="18" charset="0"/>
                      </a:rPr>
                      <a:t> 658,0</a:t>
                    </a:r>
                    <a:endParaRPr lang="ru-RU" sz="600">
                      <a:latin typeface="Times New Roman" pitchFamily="18" charset="0"/>
                      <a:cs typeface="Times New Roman" pitchFamily="18" charset="0"/>
                    </a:endParaRPr>
                  </a:p>
                </c:rich>
              </c:tx>
              <c:showLegendKey val="0"/>
              <c:showVal val="1"/>
              <c:showCatName val="1"/>
              <c:showSerName val="0"/>
              <c:showPercent val="0"/>
              <c:showBubbleSize val="0"/>
            </c:dLbl>
            <c:dLbl>
              <c:idx val="1"/>
              <c:layout>
                <c:manualLayout>
                  <c:x val="1.8383347914843976E-2"/>
                  <c:y val="-0.24169703905314868"/>
                </c:manualLayout>
              </c:layout>
              <c:tx>
                <c:rich>
                  <a:bodyPr/>
                  <a:lstStyle/>
                  <a:p>
                    <a:r>
                      <a:rPr lang="ru-RU" sz="800" b="1">
                        <a:latin typeface="Times New Roman" pitchFamily="18" charset="0"/>
                        <a:cs typeface="Times New Roman" pitchFamily="18" charset="0"/>
                      </a:rPr>
                      <a:t>Мероприятия по развитию службы крови</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26,8</a:t>
                    </a:r>
                  </a:p>
                  <a:p>
                    <a:endParaRPr lang="ru-RU"/>
                  </a:p>
                </c:rich>
              </c:tx>
              <c:showLegendKey val="0"/>
              <c:showVal val="1"/>
              <c:showCatName val="1"/>
              <c:showSerName val="0"/>
              <c:showPercent val="0"/>
              <c:showBubbleSize val="0"/>
            </c:dLbl>
            <c:dLbl>
              <c:idx val="2"/>
              <c:layout>
                <c:manualLayout>
                  <c:x val="0.21660493289447222"/>
                  <c:y val="0.12405953823081098"/>
                </c:manualLayout>
              </c:layout>
              <c:tx>
                <c:rich>
                  <a:bodyPr/>
                  <a:lstStyle/>
                  <a:p>
                    <a:r>
                      <a:rPr lang="ru-RU" sz="800" b="1">
                        <a:latin typeface="Times New Roman" pitchFamily="18" charset="0"/>
                        <a:cs typeface="Times New Roman" pitchFamily="18" charset="0"/>
                      </a:rPr>
                      <a:t>Мероприятия, направленные на формирование здорового образа жизни у населения</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0,6</a:t>
                    </a:r>
                    <a:endParaRPr lang="ru-RU" sz="600"/>
                  </a:p>
                </c:rich>
              </c:tx>
              <c:showLegendKey val="0"/>
              <c:showVal val="1"/>
              <c:showCatName val="1"/>
              <c:showSerName val="0"/>
              <c:showPercent val="0"/>
              <c:showBubbleSize val="0"/>
            </c:dLbl>
            <c:dLbl>
              <c:idx val="3"/>
              <c:layout>
                <c:manualLayout>
                  <c:x val="2.5589187442472516E-2"/>
                  <c:y val="0.15593420416606063"/>
                </c:manualLayout>
              </c:layout>
              <c:tx>
                <c:rich>
                  <a:bodyPr/>
                  <a:lstStyle/>
                  <a:p>
                    <a:r>
                      <a:rPr lang="ru-RU" sz="800" b="1">
                        <a:latin typeface="Times New Roman" pitchFamily="18" charset="0"/>
                        <a:cs typeface="Times New Roman" pitchFamily="18" charset="0"/>
                      </a:rPr>
                      <a:t>Обеспечение мер социальной поддержки донорам</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13,2</a:t>
                    </a:r>
                    <a:endParaRPr lang="ru-RU" sz="600"/>
                  </a:p>
                </c:rich>
              </c:tx>
              <c:showLegendKey val="0"/>
              <c:showVal val="1"/>
              <c:showCatName val="1"/>
              <c:showSerName val="0"/>
              <c:showPercent val="0"/>
              <c:showBubbleSize val="0"/>
            </c:dLbl>
            <c:dLbl>
              <c:idx val="4"/>
              <c:layout>
                <c:manualLayout>
                  <c:x val="-0.3091492995341153"/>
                  <c:y val="0.20159860287762832"/>
                </c:manualLayout>
              </c:layout>
              <c:tx>
                <c:rich>
                  <a:bodyPr/>
                  <a:lstStyle/>
                  <a:p>
                    <a:r>
                      <a:rPr lang="ru-RU" sz="800" b="1">
                        <a:latin typeface="Times New Roman" pitchFamily="18" charset="0"/>
                        <a:cs typeface="Times New Roman" pitchFamily="18" charset="0"/>
                      </a:rPr>
                      <a:t>Межбюджетные трансферты</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16,0</a:t>
                    </a:r>
                    <a:endParaRPr lang="ru-RU"/>
                  </a:p>
                </c:rich>
              </c:tx>
              <c:showLegendKey val="0"/>
              <c:showVal val="1"/>
              <c:showCatName val="1"/>
              <c:showSerName val="0"/>
              <c:showPercent val="0"/>
              <c:showBubbleSize val="0"/>
            </c:dLbl>
            <c:dLbl>
              <c:idx val="5"/>
              <c:layout>
                <c:manualLayout>
                  <c:x val="-0.27898534653479456"/>
                  <c:y val="2.8258395042383248E-2"/>
                </c:manualLayout>
              </c:layout>
              <c:tx>
                <c:rich>
                  <a:bodyPr/>
                  <a:lstStyle/>
                  <a:p>
                    <a:r>
                      <a:rPr lang="ru-RU" sz="800" b="1">
                        <a:latin typeface="Times New Roman" pitchFamily="18" charset="0"/>
                        <a:cs typeface="Times New Roman" pitchFamily="18" charset="0"/>
                      </a:rPr>
                      <a:t>Осуществление единовременных выплат медицинским работникам</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62,0</a:t>
                    </a:r>
                    <a:endParaRPr lang="ru-RU"/>
                  </a:p>
                </c:rich>
              </c:tx>
              <c:showLegendKey val="0"/>
              <c:showVal val="1"/>
              <c:showCatName val="1"/>
              <c:showSerName val="0"/>
              <c:showPercent val="0"/>
              <c:showBubbleSize val="0"/>
            </c:dLbl>
            <c:dLbl>
              <c:idx val="6"/>
              <c:layout>
                <c:manualLayout>
                  <c:x val="-0.26679660062551425"/>
                  <c:y val="-0.14417895926959873"/>
                </c:manualLayout>
              </c:layout>
              <c:tx>
                <c:rich>
                  <a:bodyPr/>
                  <a:lstStyle/>
                  <a:p>
                    <a:r>
                      <a:rPr lang="ru-RU" sz="800" b="1">
                        <a:latin typeface="Times New Roman" pitchFamily="18" charset="0"/>
                        <a:cs typeface="Times New Roman" pitchFamily="18" charset="0"/>
                      </a:rPr>
                      <a:t>Развитие медицинской реабилитации, в том числе детей</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24,8</a:t>
                    </a:r>
                    <a:endParaRPr lang="ru-RU"/>
                  </a:p>
                </c:rich>
              </c:tx>
              <c:showLegendKey val="0"/>
              <c:showVal val="1"/>
              <c:showCatName val="1"/>
              <c:showSerName val="0"/>
              <c:showPercent val="0"/>
              <c:showBubbleSize val="0"/>
            </c:dLbl>
            <c:dLbl>
              <c:idx val="7"/>
              <c:layout>
                <c:manualLayout>
                  <c:x val="-7.7675331750030926E-2"/>
                  <c:y val="-0.17528828826893875"/>
                </c:manualLayout>
              </c:layout>
              <c:tx>
                <c:rich>
                  <a:bodyPr/>
                  <a:lstStyle/>
                  <a:p>
                    <a:r>
                      <a:rPr lang="ru-RU" sz="800" b="1">
                        <a:latin typeface="Times New Roman" pitchFamily="18" charset="0"/>
                        <a:cs typeface="Times New Roman" pitchFamily="18" charset="0"/>
                      </a:rPr>
                      <a:t>Содержание подведомственных учреждений</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2185,9</a:t>
                    </a:r>
                    <a:endParaRPr lang="ru-RU"/>
                  </a:p>
                </c:rich>
              </c:tx>
              <c:showLegendKey val="0"/>
              <c:showVal val="1"/>
              <c:showCatName val="1"/>
              <c:showSerName val="0"/>
              <c:showPercent val="0"/>
              <c:showBubbleSize val="0"/>
            </c:dLbl>
            <c:dLbl>
              <c:idx val="8"/>
              <c:layout>
                <c:manualLayout>
                  <c:x val="-8.8280986550392335E-2"/>
                  <c:y val="-7.0243384463506392E-2"/>
                </c:manualLayout>
              </c:layout>
              <c:tx>
                <c:rich>
                  <a:bodyPr/>
                  <a:lstStyle/>
                  <a:p>
                    <a:r>
                      <a:rPr lang="ru-RU" sz="800" b="1">
                        <a:latin typeface="Times New Roman" pitchFamily="18" charset="0"/>
                        <a:cs typeface="Times New Roman" pitchFamily="18" charset="0"/>
                      </a:rPr>
                      <a:t>Содержание органов государственной власти</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35,6</a:t>
                    </a:r>
                    <a:endParaRPr lang="ru-RU"/>
                  </a:p>
                </c:rich>
              </c:tx>
              <c:showLegendKey val="0"/>
              <c:showVal val="1"/>
              <c:showCatName val="1"/>
              <c:showSerName val="0"/>
              <c:showPercent val="0"/>
              <c:showBubbleSize val="0"/>
            </c:dLbl>
            <c:dLbl>
              <c:idx val="9"/>
              <c:layout>
                <c:manualLayout>
                  <c:x val="5.0766891840248587E-2"/>
                  <c:y val="-2.5274816798744337E-2"/>
                </c:manualLayout>
              </c:layout>
              <c:tx>
                <c:rich>
                  <a:bodyPr/>
                  <a:lstStyle/>
                  <a:p>
                    <a:r>
                      <a:rPr lang="ru-RU" sz="800" b="1">
                        <a:latin typeface="Times New Roman" pitchFamily="18" charset="0"/>
                        <a:cs typeface="Times New Roman" pitchFamily="18" charset="0"/>
                      </a:rPr>
                      <a:t>Страховые взносы на обязательное медицинское страхование неработающего населения</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4917,5</a:t>
                    </a:r>
                    <a:endParaRPr lang="ru-RU"/>
                  </a:p>
                </c:rich>
              </c:tx>
              <c:showLegendKey val="0"/>
              <c:showVal val="1"/>
              <c:showCatName val="1"/>
              <c:showSerName val="0"/>
              <c:showPercent val="0"/>
              <c:showBubbleSize val="0"/>
            </c:dLbl>
            <c:dLbl>
              <c:idx val="10"/>
              <c:layout>
                <c:manualLayout>
                  <c:x val="9.2848270305387559E-2"/>
                  <c:y val="-5.2396178874403412E-2"/>
                </c:manualLayout>
              </c:layout>
              <c:tx>
                <c:rich>
                  <a:bodyPr/>
                  <a:lstStyle/>
                  <a:p>
                    <a:r>
                      <a:rPr lang="ru-RU" sz="800" b="1">
                        <a:latin typeface="Times New Roman" pitchFamily="18" charset="0"/>
                        <a:cs typeface="Times New Roman" pitchFamily="18" charset="0"/>
                      </a:rPr>
                      <a:t>Капитальные вложения в объекты государственной собственности</a:t>
                    </a:r>
                    <a:r>
                      <a:rPr lang="en-US" sz="800" b="1">
                        <a:latin typeface="Times New Roman" pitchFamily="18" charset="0"/>
                        <a:cs typeface="Times New Roman" pitchFamily="18" charset="0"/>
                      </a:rPr>
                      <a:t>:</a:t>
                    </a:r>
                    <a:r>
                      <a:rPr lang="ru-RU" sz="800" b="1">
                        <a:latin typeface="Times New Roman" pitchFamily="18" charset="0"/>
                        <a:cs typeface="Times New Roman" pitchFamily="18" charset="0"/>
                      </a:rPr>
                      <a:t> 8,8</a:t>
                    </a:r>
                  </a:p>
                  <a:p>
                    <a:endParaRPr lang="ru-RU" sz="600"/>
                  </a:p>
                </c:rich>
              </c:tx>
              <c:showLegendKey val="0"/>
              <c:showVal val="1"/>
              <c:showCatName val="1"/>
              <c:showSerName val="0"/>
              <c:showPercent val="0"/>
              <c:showBubbleSize val="0"/>
            </c:dLbl>
            <c:dLbl>
              <c:idx val="11"/>
              <c:layout>
                <c:manualLayout>
                  <c:x val="-0.307365995917177"/>
                  <c:y val="-3.3528184880465307E-2"/>
                </c:manualLayout>
              </c:layout>
              <c:tx>
                <c:rich>
                  <a:bodyPr/>
                  <a:lstStyle/>
                  <a:p>
                    <a:r>
                      <a:rPr lang="ru-RU" sz="800" b="1">
                        <a:latin typeface="Times New Roman" pitchFamily="18" charset="0"/>
                        <a:cs typeface="Times New Roman" pitchFamily="18" charset="0"/>
                      </a:rPr>
                      <a:t>Совершенствование оказания медицинской помощи пострадавшим при дорожно-транспортных происшествиях; </a:t>
                    </a:r>
                  </a:p>
                  <a:p>
                    <a:r>
                      <a:rPr lang="ru-RU" sz="800" b="1">
                        <a:latin typeface="Times New Roman" pitchFamily="18" charset="0"/>
                        <a:cs typeface="Times New Roman" pitchFamily="18" charset="0"/>
                      </a:rPr>
                      <a:t>23 106,5 тыс. руб.</a:t>
                    </a:r>
                    <a:endParaRPr lang="ru-RU"/>
                  </a:p>
                </c:rich>
              </c:tx>
              <c:showLegendKey val="0"/>
              <c:showVal val="1"/>
              <c:showCatName val="1"/>
              <c:showSerName val="0"/>
              <c:showPercent val="0"/>
              <c:showBubbleSize val="0"/>
            </c:dLbl>
            <c:dLbl>
              <c:idx val="12"/>
              <c:layout>
                <c:manualLayout>
                  <c:x val="-0.12219174686497521"/>
                  <c:y val="-0.10177549974035793"/>
                </c:manualLayout>
              </c:layout>
              <c:tx>
                <c:rich>
                  <a:bodyPr/>
                  <a:lstStyle/>
                  <a:p>
                    <a:r>
                      <a:rPr lang="ru-RU" sz="800" b="1">
                        <a:latin typeface="Times New Roman" pitchFamily="18" charset="0"/>
                        <a:cs typeface="Times New Roman" pitchFamily="18" charset="0"/>
                      </a:rPr>
                      <a:t>Мероприятия по направлениям реализации государственной программы; </a:t>
                    </a:r>
                  </a:p>
                  <a:p>
                    <a:r>
                      <a:rPr lang="ru-RU" sz="800" b="1">
                        <a:latin typeface="Times New Roman" pitchFamily="18" charset="0"/>
                        <a:cs typeface="Times New Roman" pitchFamily="18" charset="0"/>
                      </a:rPr>
                      <a:t>23 562,0</a:t>
                    </a:r>
                    <a:endParaRPr lang="ru-RU"/>
                  </a:p>
                </c:rich>
              </c:tx>
              <c:showLegendKey val="0"/>
              <c:showVal val="1"/>
              <c:showCatName val="1"/>
              <c:showSerName val="0"/>
              <c:showPercent val="0"/>
              <c:showBubbleSize val="0"/>
            </c:dLbl>
            <c:txPr>
              <a:bodyPr/>
              <a:lstStyle/>
              <a:p>
                <a:pPr>
                  <a:defRPr sz="8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Лист3!$A$2:$A$14</c:f>
              <c:strCache>
                <c:ptCount val="11"/>
                <c:pt idx="0">
                  <c:v>Лекарственное обеспечение отдельных категорий граждан</c:v>
                </c:pt>
                <c:pt idx="2">
                  <c:v>Мероприятия, направленные на формирование здорового образа жизни у населения, включая сокращение потребления алкоголя и табака</c:v>
                </c:pt>
                <c:pt idx="3">
                  <c:v>Обеспечение мер социальной поддержки донорам</c:v>
                </c:pt>
                <c:pt idx="4">
                  <c:v>Межбюджетные трансферты</c:v>
                </c:pt>
                <c:pt idx="5">
                  <c:v>Осуществление единовременных выплат медицинским работникам</c:v>
                </c:pt>
                <c:pt idx="6">
                  <c:v>Развитие медицинской реабилитации, в том числе детей</c:v>
                </c:pt>
                <c:pt idx="7">
                  <c:v>Содержание подведомственных учреждений</c:v>
                </c:pt>
                <c:pt idx="8">
                  <c:v>Расходы на обеспечение функций исполнительных органов государственной власти</c:v>
                </c:pt>
                <c:pt idx="9">
                  <c:v>Страховые взносы на обязательное медицинское страхование неработающего населения</c:v>
                </c:pt>
                <c:pt idx="10">
                  <c:v>Капитальные вложения в объекты государственной собственности</c:v>
                </c:pt>
              </c:strCache>
            </c:strRef>
          </c:cat>
          <c:val>
            <c:numRef>
              <c:f>Лист3!$B$2:$B$14</c:f>
              <c:numCache>
                <c:formatCode>General</c:formatCode>
                <c:ptCount val="13"/>
                <c:pt idx="0" formatCode="#,##0.0">
                  <c:v>657997.4</c:v>
                </c:pt>
                <c:pt idx="2" formatCode="#,##0.0">
                  <c:v>577.70000000000005</c:v>
                </c:pt>
                <c:pt idx="3" formatCode="#,##0.0">
                  <c:v>13214.4</c:v>
                </c:pt>
                <c:pt idx="4" formatCode="#,##0.0">
                  <c:v>15930.8</c:v>
                </c:pt>
                <c:pt idx="5" formatCode="#,##0.0">
                  <c:v>62000</c:v>
                </c:pt>
                <c:pt idx="6" formatCode="#,##0.0">
                  <c:v>24834.3</c:v>
                </c:pt>
                <c:pt idx="7" formatCode="#,##0.0">
                  <c:v>2185855.4</c:v>
                </c:pt>
                <c:pt idx="8" formatCode="#,##0.0">
                  <c:v>35578.5</c:v>
                </c:pt>
                <c:pt idx="9" formatCode="#,##0.0">
                  <c:v>4917552.3</c:v>
                </c:pt>
                <c:pt idx="10" formatCode="#,##0.0">
                  <c:v>8850</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bg1"/>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00"/>
      <c:rAngAx val="0"/>
      <c:perspective val="0"/>
    </c:view3D>
    <c:floor>
      <c:thickness val="0"/>
    </c:floor>
    <c:sideWall>
      <c:thickness val="0"/>
    </c:sideWall>
    <c:backWall>
      <c:thickness val="0"/>
    </c:backWall>
    <c:plotArea>
      <c:layout>
        <c:manualLayout>
          <c:layoutTarget val="inner"/>
          <c:xMode val="edge"/>
          <c:yMode val="edge"/>
          <c:x val="2.6587585642703752E-2"/>
          <c:y val="6.341656757827982E-2"/>
          <c:w val="0.64608792733103826"/>
          <c:h val="0.93512691115750846"/>
        </c:manualLayout>
      </c:layout>
      <c:pie3DChart>
        <c:varyColors val="1"/>
        <c:ser>
          <c:idx val="0"/>
          <c:order val="0"/>
          <c:tx>
            <c:strRef>
              <c:f>Лист1!$B$1</c:f>
              <c:strCache>
                <c:ptCount val="1"/>
                <c:pt idx="0">
                  <c:v>Столбец2</c:v>
                </c:pt>
              </c:strCache>
            </c:strRef>
          </c:tx>
          <c:spPr>
            <a:scene3d>
              <a:camera prst="orthographicFront"/>
              <a:lightRig rig="threePt" dir="t"/>
            </a:scene3d>
            <a:sp3d>
              <a:bevelT/>
            </a:sp3d>
          </c:spPr>
          <c:explosion val="25"/>
          <c:dPt>
            <c:idx val="0"/>
            <c:bubble3D val="0"/>
            <c:spPr>
              <a:solidFill>
                <a:srgbClr val="00B0F0"/>
              </a:solidFill>
              <a:scene3d>
                <a:camera prst="orthographicFront"/>
                <a:lightRig rig="threePt" dir="t"/>
              </a:scene3d>
              <a:sp3d>
                <a:bevelT/>
              </a:sp3d>
            </c:spPr>
          </c:dPt>
          <c:dPt>
            <c:idx val="1"/>
            <c:bubble3D val="0"/>
            <c:spPr>
              <a:solidFill>
                <a:srgbClr val="FFFF00"/>
              </a:solidFill>
              <a:scene3d>
                <a:camera prst="orthographicFront"/>
                <a:lightRig rig="threePt" dir="t"/>
              </a:scene3d>
              <a:sp3d>
                <a:bevelT/>
              </a:sp3d>
            </c:spPr>
          </c:dPt>
          <c:dPt>
            <c:idx val="2"/>
            <c:bubble3D val="0"/>
            <c:spPr>
              <a:solidFill>
                <a:srgbClr val="FF0000"/>
              </a:solidFill>
              <a:scene3d>
                <a:camera prst="orthographicFront"/>
                <a:lightRig rig="threePt" dir="t"/>
              </a:scene3d>
              <a:sp3d>
                <a:bevelT/>
              </a:sp3d>
            </c:spPr>
          </c:dPt>
          <c:dPt>
            <c:idx val="3"/>
            <c:bubble3D val="0"/>
            <c:spPr>
              <a:solidFill>
                <a:srgbClr val="7030A0"/>
              </a:solidFill>
              <a:scene3d>
                <a:camera prst="orthographicFront"/>
                <a:lightRig rig="threePt" dir="t"/>
              </a:scene3d>
              <a:sp3d>
                <a:bevelT/>
              </a:sp3d>
            </c:spPr>
          </c:dPt>
          <c:dPt>
            <c:idx val="4"/>
            <c:bubble3D val="0"/>
            <c:spPr>
              <a:solidFill>
                <a:srgbClr val="00B050"/>
              </a:solidFill>
              <a:scene3d>
                <a:camera prst="orthographicFront"/>
                <a:lightRig rig="threePt" dir="t"/>
              </a:scene3d>
              <a:sp3d>
                <a:bevelT/>
              </a:sp3d>
            </c:spPr>
          </c:dPt>
          <c:dLbls>
            <c:dLbl>
              <c:idx val="0"/>
              <c:layout>
                <c:manualLayout>
                  <c:x val="-7.8165666334546524E-2"/>
                  <c:y val="-1.9500271218560961E-2"/>
                </c:manualLayout>
              </c:layout>
              <c:showLegendKey val="0"/>
              <c:showVal val="1"/>
              <c:showCatName val="0"/>
              <c:showSerName val="0"/>
              <c:showPercent val="0"/>
              <c:showBubbleSize val="0"/>
            </c:dLbl>
            <c:dLbl>
              <c:idx val="1"/>
              <c:layout>
                <c:manualLayout>
                  <c:x val="-3.5403880438050497E-2"/>
                  <c:y val="-2.1904739613809246E-2"/>
                </c:manualLayout>
              </c:layout>
              <c:showLegendKey val="0"/>
              <c:showVal val="1"/>
              <c:showCatName val="0"/>
              <c:showSerName val="0"/>
              <c:showPercent val="0"/>
              <c:showBubbleSize val="0"/>
            </c:dLbl>
            <c:dLbl>
              <c:idx val="2"/>
              <c:layout>
                <c:manualLayout>
                  <c:x val="1.4752247555503094E-2"/>
                  <c:y val="-1.981665691437488E-2"/>
                </c:manualLayout>
              </c:layout>
              <c:showLegendKey val="0"/>
              <c:showVal val="1"/>
              <c:showCatName val="0"/>
              <c:showSerName val="0"/>
              <c:showPercent val="0"/>
              <c:showBubbleSize val="0"/>
            </c:dLbl>
            <c:dLbl>
              <c:idx val="3"/>
              <c:layout>
                <c:manualLayout>
                  <c:x val="3.7653342573443741E-3"/>
                  <c:y val="3.0397701914259979E-2"/>
                </c:manualLayout>
              </c:layout>
              <c:showLegendKey val="0"/>
              <c:showVal val="1"/>
              <c:showCatName val="0"/>
              <c:showSerName val="0"/>
              <c:showPercent val="0"/>
              <c:showBubbleSize val="0"/>
            </c:dLbl>
            <c:dLbl>
              <c:idx val="4"/>
              <c:layout>
                <c:manualLayout>
                  <c:x val="-1.0757085784249002E-2"/>
                  <c:y val="-3.1598991029500714E-2"/>
                </c:manualLayout>
              </c:layout>
              <c:showLegendKey val="0"/>
              <c:showVal val="1"/>
              <c:showCatName val="0"/>
              <c:showSerName val="0"/>
              <c:showPercent val="0"/>
              <c:showBubbleSize val="0"/>
            </c:dLbl>
            <c:dLbl>
              <c:idx val="5"/>
              <c:layout>
                <c:manualLayout>
                  <c:x val="-7.7649018859836494E-2"/>
                  <c:y val="-0.17834991222937391"/>
                </c:manualLayout>
              </c:layout>
              <c:showLegendKey val="0"/>
              <c:showVal val="1"/>
              <c:showCatName val="0"/>
              <c:showSerName val="0"/>
              <c:showPercent val="0"/>
              <c:showBubbleSize val="0"/>
            </c:dLbl>
            <c:dLbl>
              <c:idx val="6"/>
              <c:layout>
                <c:manualLayout>
                  <c:x val="-2.3851648856862247E-2"/>
                  <c:y val="-2.5315389116442365E-3"/>
                </c:manualLayout>
              </c:layout>
              <c:showLegendKey val="0"/>
              <c:showVal val="1"/>
              <c:showCatName val="0"/>
              <c:showSerName val="0"/>
              <c:showPercent val="0"/>
              <c:showBubbleSize val="0"/>
            </c:dLbl>
            <c:dLbl>
              <c:idx val="7"/>
              <c:layout>
                <c:manualLayout>
                  <c:x val="-5.0923442612998533E-2"/>
                  <c:y val="1.1726155646576945E-2"/>
                </c:manualLayout>
              </c:layout>
              <c:showLegendKey val="0"/>
              <c:showVal val="1"/>
              <c:showCatName val="0"/>
              <c:showSerName val="0"/>
              <c:showPercent val="0"/>
              <c:showBubbleSize val="0"/>
            </c:dLbl>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Содержание органов государственной власти</c:v>
                </c:pt>
                <c:pt idx="1">
                  <c:v>Содержание подведомственной сети</c:v>
                </c:pt>
                <c:pt idx="2">
                  <c:v>Бюджетные инвестиции</c:v>
                </c:pt>
                <c:pt idx="3">
                  <c:v>Субвенции, иные м/б трансферты</c:v>
                </c:pt>
                <c:pt idx="4">
                  <c:v>Меры соц поддержки граждан</c:v>
                </c:pt>
              </c:strCache>
            </c:strRef>
          </c:cat>
          <c:val>
            <c:numRef>
              <c:f>Лист1!$B$2:$B$6</c:f>
              <c:numCache>
                <c:formatCode>General</c:formatCode>
                <c:ptCount val="5"/>
                <c:pt idx="0" formatCode="0.0">
                  <c:v>16.399999999999999</c:v>
                </c:pt>
                <c:pt idx="1">
                  <c:v>43.4</c:v>
                </c:pt>
                <c:pt idx="2">
                  <c:v>18.3</c:v>
                </c:pt>
                <c:pt idx="3" formatCode="0.0">
                  <c:v>994</c:v>
                </c:pt>
                <c:pt idx="4">
                  <c:v>487.1</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8324766695829686"/>
          <c:y val="6.738010305192231E-2"/>
          <c:w val="0.30286344415281424"/>
          <c:h val="0.86512510073163473"/>
        </c:manualLayout>
      </c:layout>
      <c:overlay val="0"/>
      <c:txPr>
        <a:bodyPr/>
        <a:lstStyle/>
        <a:p>
          <a:pPr>
            <a:defRPr sz="1100" baseline="0">
              <a:latin typeface="Times New Roman" pitchFamily="18" charset="0"/>
            </a:defRPr>
          </a:pPr>
          <a:endParaRPr lang="ru-RU"/>
        </a:p>
      </c:txPr>
    </c:legend>
    <c:plotVisOnly val="1"/>
    <c:dispBlanksAs val="gap"/>
    <c:showDLblsOverMax val="0"/>
  </c:chart>
  <c:spPr>
    <a:noFill/>
    <a:ln>
      <a:noFill/>
    </a:ln>
    <a:effectLst>
      <a:glow rad="139700">
        <a:schemeClr val="accent2">
          <a:satMod val="175000"/>
          <a:alpha val="40000"/>
        </a:schemeClr>
      </a:glow>
    </a:effectLst>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7.091732828002309E-2"/>
          <c:w val="0.82407407407407407"/>
          <c:h val="0.79656531033621214"/>
        </c:manualLayout>
      </c:layout>
      <c:pie3DChart>
        <c:varyColors val="1"/>
        <c:ser>
          <c:idx val="0"/>
          <c:order val="0"/>
          <c:tx>
            <c:strRef>
              <c:f>Лист1!$B$1</c:f>
              <c:strCache>
                <c:ptCount val="1"/>
                <c:pt idx="0">
                  <c:v>Столбец1</c:v>
                </c:pt>
              </c:strCache>
            </c:strRef>
          </c:tx>
          <c:spPr>
            <a:ln w="15875">
              <a:solidFill>
                <a:sysClr val="windowText" lastClr="000000"/>
              </a:solidFill>
            </a:ln>
          </c:spPr>
          <c:explosion val="25"/>
          <c:dPt>
            <c:idx val="0"/>
            <c:bubble3D val="0"/>
            <c:explosion val="0"/>
            <c:spPr>
              <a:solidFill>
                <a:schemeClr val="accent5">
                  <a:lumMod val="60000"/>
                  <a:lumOff val="40000"/>
                </a:schemeClr>
              </a:solidFill>
              <a:ln w="15875">
                <a:solidFill>
                  <a:sysClr val="windowText" lastClr="000000"/>
                </a:solidFill>
              </a:ln>
            </c:spPr>
          </c:dPt>
          <c:dPt>
            <c:idx val="1"/>
            <c:bubble3D val="0"/>
            <c:explosion val="21"/>
            <c:spPr>
              <a:solidFill>
                <a:schemeClr val="accent2">
                  <a:lumMod val="60000"/>
                  <a:lumOff val="40000"/>
                </a:schemeClr>
              </a:solidFill>
              <a:ln w="15875">
                <a:solidFill>
                  <a:sysClr val="windowText" lastClr="000000"/>
                </a:solidFill>
              </a:ln>
            </c:spPr>
          </c:dPt>
          <c:dPt>
            <c:idx val="2"/>
            <c:bubble3D val="0"/>
            <c:spPr>
              <a:solidFill>
                <a:srgbClr val="00B050"/>
              </a:solidFill>
              <a:ln w="15875">
                <a:solidFill>
                  <a:sysClr val="windowText" lastClr="000000"/>
                </a:solidFill>
              </a:ln>
            </c:spPr>
          </c:dPt>
          <c:dPt>
            <c:idx val="3"/>
            <c:bubble3D val="0"/>
            <c:spPr>
              <a:solidFill>
                <a:schemeClr val="tx2">
                  <a:lumMod val="60000"/>
                  <a:lumOff val="40000"/>
                </a:schemeClr>
              </a:solidFill>
              <a:ln w="15875">
                <a:solidFill>
                  <a:sysClr val="windowText" lastClr="000000"/>
                </a:solidFill>
              </a:ln>
            </c:spPr>
          </c:dPt>
          <c:dPt>
            <c:idx val="4"/>
            <c:bubble3D val="0"/>
            <c:spPr>
              <a:solidFill>
                <a:srgbClr val="FFFF00"/>
              </a:solidFill>
              <a:ln w="15875">
                <a:solidFill>
                  <a:sysClr val="windowText" lastClr="000000"/>
                </a:solidFill>
              </a:ln>
            </c:spPr>
          </c:dPt>
          <c:dPt>
            <c:idx val="5"/>
            <c:bubble3D val="0"/>
            <c:explosion val="16"/>
            <c:spPr>
              <a:solidFill>
                <a:srgbClr val="7030A0"/>
              </a:solidFill>
              <a:ln w="15875">
                <a:solidFill>
                  <a:sysClr val="windowText" lastClr="000000"/>
                </a:solidFill>
              </a:ln>
            </c:spPr>
          </c:dPt>
          <c:dPt>
            <c:idx val="6"/>
            <c:bubble3D val="0"/>
            <c:explosion val="6"/>
            <c:spPr>
              <a:solidFill>
                <a:srgbClr val="FFC000"/>
              </a:solidFill>
              <a:ln w="15875">
                <a:solidFill>
                  <a:sysClr val="windowText" lastClr="000000"/>
                </a:solidFill>
              </a:ln>
            </c:spPr>
          </c:dPt>
          <c:dLbls>
            <c:dLbl>
              <c:idx val="0"/>
              <c:layout>
                <c:manualLayout>
                  <c:x val="-0.14134533645543923"/>
                  <c:y val="-4.2766579521371223E-2"/>
                </c:manualLayout>
              </c:layout>
              <c:tx>
                <c:rich>
                  <a:bodyPr/>
                  <a:lstStyle/>
                  <a:p>
                    <a:r>
                      <a:rPr lang="ru-RU" sz="1000"/>
                      <a:t>Расходы на обеспечение деятельности                            государственных учреждений; 158,5</a:t>
                    </a:r>
                    <a:endParaRPr lang="ru-RU"/>
                  </a:p>
                </c:rich>
              </c:tx>
              <c:showLegendKey val="1"/>
              <c:showVal val="1"/>
              <c:showCatName val="1"/>
              <c:showSerName val="0"/>
              <c:showPercent val="0"/>
              <c:showBubbleSize val="0"/>
            </c:dLbl>
            <c:dLbl>
              <c:idx val="1"/>
              <c:layout>
                <c:manualLayout>
                  <c:x val="-0.12833262560207709"/>
                  <c:y val="-0.21991141087717669"/>
                </c:manualLayout>
              </c:layout>
              <c:tx>
                <c:rich>
                  <a:bodyPr/>
                  <a:lstStyle/>
                  <a:p>
                    <a:r>
                      <a:rPr lang="ru-RU" sz="1000"/>
                      <a:t>Расходы на обеспечение функций исполнительных органов государственной власти; 115,9</a:t>
                    </a:r>
                    <a:endParaRPr lang="ru-RU"/>
                  </a:p>
                </c:rich>
              </c:tx>
              <c:showLegendKey val="1"/>
              <c:showVal val="1"/>
              <c:showCatName val="1"/>
              <c:showSerName val="0"/>
              <c:showPercent val="0"/>
              <c:showBubbleSize val="0"/>
            </c:dLbl>
            <c:dLbl>
              <c:idx val="2"/>
              <c:layout>
                <c:manualLayout>
                  <c:x val="0"/>
                  <c:y val="4.8312437775821032E-2"/>
                </c:manualLayout>
              </c:layout>
              <c:tx>
                <c:rich>
                  <a:bodyPr/>
                  <a:lstStyle/>
                  <a:p>
                    <a:r>
                      <a:rPr lang="ru-RU" sz="1000"/>
                      <a:t>Повышение инвестиционной привлекательности региона</a:t>
                    </a:r>
                    <a:r>
                      <a:rPr lang="en-US" sz="1000"/>
                      <a:t>;</a:t>
                    </a:r>
                    <a:r>
                      <a:rPr lang="ru-RU" sz="1000"/>
                      <a:t> 45,1</a:t>
                    </a:r>
                    <a:endParaRPr lang="ru-RU"/>
                  </a:p>
                </c:rich>
              </c:tx>
              <c:showLegendKey val="1"/>
              <c:showVal val="1"/>
              <c:showCatName val="1"/>
              <c:showSerName val="0"/>
              <c:showPercent val="0"/>
              <c:showBubbleSize val="0"/>
            </c:dLbl>
            <c:dLbl>
              <c:idx val="3"/>
              <c:layout>
                <c:manualLayout>
                  <c:x val="-5.1802168137210856E-2"/>
                  <c:y val="0.1995799752160102"/>
                </c:manualLayout>
              </c:layout>
              <c:tx>
                <c:rich>
                  <a:bodyPr/>
                  <a:lstStyle/>
                  <a:p>
                    <a:r>
                      <a:rPr lang="ru-RU" sz="1000"/>
                      <a:t>Развитие субъектов малого и среднего предприниматель-ства</a:t>
                    </a:r>
                    <a:r>
                      <a:rPr lang="en-US" sz="1000"/>
                      <a:t>;</a:t>
                    </a:r>
                    <a:r>
                      <a:rPr lang="ru-RU" sz="1000"/>
                      <a:t> 7,1</a:t>
                    </a:r>
                    <a:endParaRPr lang="ru-RU"/>
                  </a:p>
                </c:rich>
              </c:tx>
              <c:showLegendKey val="1"/>
              <c:showVal val="1"/>
              <c:showCatName val="1"/>
              <c:showSerName val="0"/>
              <c:showPercent val="0"/>
              <c:showBubbleSize val="0"/>
            </c:dLbl>
            <c:dLbl>
              <c:idx val="4"/>
              <c:layout>
                <c:manualLayout>
                  <c:x val="-0.27745423910897682"/>
                  <c:y val="0.11187506986431135"/>
                </c:manualLayout>
              </c:layout>
              <c:tx>
                <c:rich>
                  <a:bodyPr/>
                  <a:lstStyle/>
                  <a:p>
                    <a:r>
                      <a:rPr lang="ru-RU" sz="1000"/>
                      <a:t>Государственная поддержка производственных отраслей; 8,9</a:t>
                    </a:r>
                    <a:endParaRPr lang="ru-RU"/>
                  </a:p>
                </c:rich>
              </c:tx>
              <c:showLegendKey val="1"/>
              <c:showVal val="1"/>
              <c:showCatName val="1"/>
              <c:showSerName val="0"/>
              <c:showPercent val="0"/>
              <c:showBubbleSize val="0"/>
            </c:dLbl>
            <c:dLbl>
              <c:idx val="5"/>
              <c:layout>
                <c:manualLayout>
                  <c:x val="-0.30726876397769226"/>
                  <c:y val="7.3915298898050319E-2"/>
                </c:manualLayout>
              </c:layout>
              <c:tx>
                <c:rich>
                  <a:bodyPr/>
                  <a:lstStyle/>
                  <a:p>
                    <a:r>
                      <a:rPr lang="ru-RU" sz="1000"/>
                      <a:t>Развитие внутреннего и въездного туризма в Амурской области; 208,3</a:t>
                    </a:r>
                    <a:endParaRPr lang="ru-RU"/>
                  </a:p>
                </c:rich>
              </c:tx>
              <c:showLegendKey val="1"/>
              <c:showVal val="1"/>
              <c:showCatName val="1"/>
              <c:showSerName val="0"/>
              <c:showPercent val="0"/>
              <c:showBubbleSize val="0"/>
            </c:dLbl>
            <c:dLbl>
              <c:idx val="6"/>
              <c:layout>
                <c:manualLayout>
                  <c:x val="6.0136982617780721E-2"/>
                  <c:y val="-0.39213418828728769"/>
                </c:manualLayout>
              </c:layout>
              <c:tx>
                <c:rich>
                  <a:bodyPr/>
                  <a:lstStyle/>
                  <a:p>
                    <a:r>
                      <a:rPr lang="ru-RU" sz="1000"/>
                      <a:t>Содействие занятости населения области; 538,5</a:t>
                    </a:r>
                    <a:endParaRPr lang="ru-RU"/>
                  </a:p>
                </c:rich>
              </c:tx>
              <c:showLegendKey val="1"/>
              <c:showVal val="1"/>
              <c:showCatName val="1"/>
              <c:showSerName val="0"/>
              <c:showPercent val="0"/>
              <c:showBubbleSize val="0"/>
            </c:dLbl>
            <c:dLbl>
              <c:idx val="7"/>
              <c:layout>
                <c:manualLayout>
                  <c:x val="-0.16601651356080491"/>
                  <c:y val="8.913071306816268E-4"/>
                </c:manualLayout>
              </c:layout>
              <c:tx>
                <c:rich>
                  <a:bodyPr/>
                  <a:lstStyle/>
                  <a:p>
                    <a:r>
                      <a:rPr lang="ru-RU" sz="1000"/>
                      <a:t>Иные направления расходов по госпрограмме; 6,3</a:t>
                    </a:r>
                    <a:endParaRPr lang="ru-RU"/>
                  </a:p>
                </c:rich>
              </c:tx>
              <c:showLegendKey val="1"/>
              <c:showVal val="1"/>
              <c:showCatName val="1"/>
              <c:showSerName val="0"/>
              <c:showPercent val="0"/>
              <c:showBubbleSize val="0"/>
            </c:dLbl>
            <c:txPr>
              <a:bodyPr/>
              <a:lstStyle/>
              <a:p>
                <a:pPr>
                  <a:defRPr sz="10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0"/>
            <c:showBubbleSize val="0"/>
            <c:showLeaderLines val="1"/>
          </c:dLbls>
          <c:cat>
            <c:strRef>
              <c:f>Лист1!$A$2:$A$8</c:f>
              <c:strCache>
                <c:ptCount val="7"/>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Повышение инвестиционной привлекательности региона</c:v>
                </c:pt>
                <c:pt idx="3">
                  <c:v>Развитие субъектов малого и среднего предпринимательства</c:v>
                </c:pt>
                <c:pt idx="4">
                  <c:v>Государственная поддержка производственных отраслей</c:v>
                </c:pt>
                <c:pt idx="6">
                  <c:v>Содействие занятости населения области</c:v>
                </c:pt>
              </c:strCache>
            </c:strRef>
          </c:cat>
          <c:val>
            <c:numRef>
              <c:f>Лист1!$B$2:$B$8</c:f>
              <c:numCache>
                <c:formatCode>General</c:formatCode>
                <c:ptCount val="7"/>
                <c:pt idx="0">
                  <c:v>158.5</c:v>
                </c:pt>
                <c:pt idx="1">
                  <c:v>115.9</c:v>
                </c:pt>
                <c:pt idx="2">
                  <c:v>45.1</c:v>
                </c:pt>
                <c:pt idx="3">
                  <c:v>7.1</c:v>
                </c:pt>
                <c:pt idx="4">
                  <c:v>8.9</c:v>
                </c:pt>
                <c:pt idx="6">
                  <c:v>538.5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5363751406074242"/>
          <c:y val="0.2724505342344018"/>
          <c:w val="0.54828037120359951"/>
          <c:h val="0.52959613119226245"/>
        </c:manualLayout>
      </c:layout>
      <c:pie3DChart>
        <c:varyColors val="1"/>
        <c:ser>
          <c:idx val="0"/>
          <c:order val="0"/>
          <c:tx>
            <c:strRef>
              <c:f>Лист1!$B$1</c:f>
              <c:strCache>
                <c:ptCount val="1"/>
                <c:pt idx="0">
                  <c:v>Столбец1</c:v>
                </c:pt>
              </c:strCache>
            </c:strRef>
          </c:tx>
          <c:spPr>
            <a:ln w="15875">
              <a:solidFill>
                <a:sysClr val="windowText" lastClr="000000"/>
              </a:solidFill>
            </a:ln>
          </c:spPr>
          <c:explosion val="25"/>
          <c:dPt>
            <c:idx val="0"/>
            <c:bubble3D val="0"/>
            <c:explosion val="0"/>
            <c:spPr>
              <a:blipFill>
                <a:blip xmlns:r="http://schemas.openxmlformats.org/officeDocument/2006/relationships" r:embed="rId2"/>
                <a:tile tx="0" ty="0" sx="100000" sy="100000" flip="none" algn="tl"/>
              </a:blipFill>
              <a:ln w="15875">
                <a:solidFill>
                  <a:sysClr val="windowText" lastClr="000000"/>
                </a:solidFill>
              </a:ln>
            </c:spPr>
          </c:dPt>
          <c:dPt>
            <c:idx val="1"/>
            <c:bubble3D val="0"/>
            <c:explosion val="21"/>
            <c:spPr>
              <a:solidFill>
                <a:srgbClr val="FF0000"/>
              </a:solidFill>
              <a:ln w="15875">
                <a:solidFill>
                  <a:sysClr val="windowText" lastClr="000000"/>
                </a:solidFill>
              </a:ln>
            </c:spPr>
          </c:dPt>
          <c:dPt>
            <c:idx val="2"/>
            <c:bubble3D val="0"/>
            <c:spPr>
              <a:blipFill>
                <a:blip xmlns:r="http://schemas.openxmlformats.org/officeDocument/2006/relationships" r:embed="rId3"/>
                <a:tile tx="0" ty="0" sx="100000" sy="100000" flip="none" algn="tl"/>
              </a:blipFill>
              <a:ln w="15875">
                <a:solidFill>
                  <a:sysClr val="windowText" lastClr="000000"/>
                </a:solidFill>
              </a:ln>
            </c:spPr>
          </c:dPt>
          <c:dPt>
            <c:idx val="3"/>
            <c:bubble3D val="0"/>
            <c:explosion val="0"/>
            <c:spPr>
              <a:solidFill>
                <a:schemeClr val="accent6">
                  <a:lumMod val="60000"/>
                  <a:lumOff val="40000"/>
                </a:schemeClr>
              </a:solidFill>
              <a:ln w="15875">
                <a:solidFill>
                  <a:sysClr val="windowText" lastClr="000000"/>
                </a:solidFill>
              </a:ln>
            </c:spPr>
          </c:dPt>
          <c:dPt>
            <c:idx val="4"/>
            <c:bubble3D val="0"/>
            <c:explosion val="15"/>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w="15875">
                <a:solidFill>
                  <a:sysClr val="windowText" lastClr="000000"/>
                </a:solidFill>
              </a:ln>
            </c:spPr>
          </c:dPt>
          <c:dPt>
            <c:idx val="5"/>
            <c:bubble3D val="0"/>
            <c:explosion val="16"/>
            <c:spPr>
              <a:solidFill>
                <a:srgbClr val="7030A0"/>
              </a:solidFill>
              <a:ln w="15875">
                <a:solidFill>
                  <a:sysClr val="windowText" lastClr="000000"/>
                </a:solidFill>
              </a:ln>
            </c:spPr>
          </c:dPt>
          <c:dLbls>
            <c:dLbl>
              <c:idx val="0"/>
              <c:layout>
                <c:manualLayout>
                  <c:x val="7.4588477366255138E-2"/>
                  <c:y val="-6.1831637998039951E-2"/>
                </c:manualLayout>
              </c:layout>
              <c:tx>
                <c:rich>
                  <a:bodyPr/>
                  <a:lstStyle/>
                  <a:p>
                    <a:r>
                      <a:rPr lang="ru-RU" sz="1000"/>
                      <a:t>Расходы на обеспечение деятельности                            государственных учреждений; 128,5</a:t>
                    </a:r>
                    <a:endParaRPr lang="ru-RU"/>
                  </a:p>
                </c:rich>
              </c:tx>
              <c:showLegendKey val="1"/>
              <c:showVal val="1"/>
              <c:showCatName val="1"/>
              <c:showSerName val="0"/>
              <c:showPercent val="1"/>
              <c:showBubbleSize val="0"/>
            </c:dLbl>
            <c:dLbl>
              <c:idx val="1"/>
              <c:layout>
                <c:manualLayout>
                  <c:x val="0"/>
                  <c:y val="0.12606783594110821"/>
                </c:manualLayout>
              </c:layout>
              <c:tx>
                <c:rich>
                  <a:bodyPr/>
                  <a:lstStyle/>
                  <a:p>
                    <a:r>
                      <a:rPr lang="ru-RU" sz="1000"/>
                      <a:t>Обеспечение функций исполнительных органов государственной власти; 9,6</a:t>
                    </a:r>
                    <a:endParaRPr lang="ru-RU"/>
                  </a:p>
                </c:rich>
              </c:tx>
              <c:showLegendKey val="1"/>
              <c:showVal val="1"/>
              <c:showCatName val="1"/>
              <c:showSerName val="0"/>
              <c:showPercent val="1"/>
              <c:showBubbleSize val="0"/>
            </c:dLbl>
            <c:dLbl>
              <c:idx val="2"/>
              <c:layout>
                <c:manualLayout>
                  <c:x val="-9.158214598175228E-2"/>
                  <c:y val="-7.0235146667336559E-2"/>
                </c:manualLayout>
              </c:layout>
              <c:tx>
                <c:rich>
                  <a:bodyPr/>
                  <a:lstStyle/>
                  <a:p>
                    <a:r>
                      <a:rPr lang="ru-RU" sz="1000"/>
                      <a:t>Капитальные вложения в объекты государственной и муниципальной  собственности; 25,0</a:t>
                    </a:r>
                    <a:endParaRPr lang="ru-RU"/>
                  </a:p>
                </c:rich>
              </c:tx>
              <c:showLegendKey val="1"/>
              <c:showVal val="1"/>
              <c:showCatName val="1"/>
              <c:showSerName val="0"/>
              <c:showPercent val="1"/>
              <c:showBubbleSize val="0"/>
            </c:dLbl>
            <c:dLbl>
              <c:idx val="3"/>
              <c:layout>
                <c:manualLayout>
                  <c:x val="-0.12845160558633875"/>
                  <c:y val="-5.1949869182358548E-2"/>
                </c:manualLayout>
              </c:layout>
              <c:tx>
                <c:rich>
                  <a:bodyPr/>
                  <a:lstStyle/>
                  <a:p>
                    <a:r>
                      <a:rPr lang="ru-RU" sz="1000"/>
                      <a:t>Развитие массовой физической культуры и спорта</a:t>
                    </a:r>
                    <a:r>
                      <a:rPr lang="en-US" sz="1000"/>
                      <a:t>;</a:t>
                    </a:r>
                    <a:r>
                      <a:rPr lang="ru-RU" sz="1000"/>
                      <a:t> 3,2</a:t>
                    </a:r>
                    <a:endParaRPr lang="ru-RU"/>
                  </a:p>
                </c:rich>
              </c:tx>
              <c:dLblPos val="bestFit"/>
              <c:showLegendKey val="1"/>
              <c:showVal val="1"/>
              <c:showCatName val="1"/>
              <c:showSerName val="0"/>
              <c:showPercent val="1"/>
              <c:showBubbleSize val="0"/>
            </c:dLbl>
            <c:dLbl>
              <c:idx val="4"/>
              <c:layout>
                <c:manualLayout>
                  <c:x val="3.9866336152425394E-2"/>
                  <c:y val="-0.10825777522659114"/>
                </c:manualLayout>
              </c:layout>
              <c:tx>
                <c:rich>
                  <a:bodyPr/>
                  <a:lstStyle/>
                  <a:p>
                    <a:r>
                      <a:rPr lang="ru-RU" sz="1000"/>
                      <a:t>Развитие спорта высших достижений</a:t>
                    </a:r>
                    <a:r>
                      <a:rPr lang="en-US" sz="1000"/>
                      <a:t>;</a:t>
                    </a:r>
                    <a:r>
                      <a:rPr lang="ru-RU" sz="1000"/>
                      <a:t>  10,5</a:t>
                    </a:r>
                    <a:endParaRPr lang="ru-RU"/>
                  </a:p>
                </c:rich>
              </c:tx>
              <c:showLegendKey val="1"/>
              <c:showVal val="1"/>
              <c:showCatName val="1"/>
              <c:showSerName val="0"/>
              <c:showPercent val="1"/>
              <c:showBubbleSize val="0"/>
            </c:dLbl>
            <c:dLbl>
              <c:idx val="5"/>
              <c:layout>
                <c:manualLayout>
                  <c:x val="0.14723409573803281"/>
                  <c:y val="1.5823175477298467E-3"/>
                </c:manualLayout>
              </c:layout>
              <c:tx>
                <c:rich>
                  <a:bodyPr/>
                  <a:lstStyle/>
                  <a:p>
                    <a:r>
                      <a:rPr lang="ru-RU" sz="1000"/>
                      <a:t>Совершенствование материально-технической базы для занятиий физической культурой и спортом в муниципальных образованиях области; 1,6</a:t>
                    </a:r>
                    <a:endParaRPr lang="ru-RU"/>
                  </a:p>
                </c:rich>
              </c:tx>
              <c:showLegendKey val="1"/>
              <c:showVal val="1"/>
              <c:showCatName val="1"/>
              <c:showSerName val="0"/>
              <c:showPercent val="1"/>
              <c:showBubbleSize val="0"/>
            </c:dLbl>
            <c:dLbl>
              <c:idx val="6"/>
              <c:layout>
                <c:manualLayout>
                  <c:x val="-1.3586207121188762E-2"/>
                  <c:y val="-8.9119484001949374E-3"/>
                </c:manualLayout>
              </c:layout>
              <c:showLegendKey val="1"/>
              <c:showVal val="1"/>
              <c:showCatName val="1"/>
              <c:showSerName val="0"/>
              <c:showPercent val="1"/>
              <c:showBubbleSize val="0"/>
            </c:dLbl>
            <c:dLbl>
              <c:idx val="7"/>
              <c:layout>
                <c:manualLayout>
                  <c:x val="-0.16601651356080491"/>
                  <c:y val="8.913071306816268E-4"/>
                </c:manualLayout>
              </c:layout>
              <c:showLegendKey val="1"/>
              <c:showVal val="1"/>
              <c:showCatName val="1"/>
              <c:showSerName val="0"/>
              <c:showPercent val="1"/>
              <c:showBubbleSize val="0"/>
            </c:dLbl>
            <c:txPr>
              <a:bodyPr/>
              <a:lstStyle/>
              <a:p>
                <a:pPr>
                  <a:defRPr sz="1000" b="1">
                    <a:latin typeface="Times New Roman" panose="02020603050405020304" pitchFamily="18" charset="0"/>
                    <a:cs typeface="Times New Roman" panose="02020603050405020304" pitchFamily="18" charset="0"/>
                  </a:defRPr>
                </a:pPr>
                <a:endParaRPr lang="ru-RU"/>
              </a:p>
            </c:txPr>
            <c:showLegendKey val="1"/>
            <c:showVal val="1"/>
            <c:showCatName val="1"/>
            <c:showSerName val="0"/>
            <c:showPercent val="1"/>
            <c:showBubbleSize val="0"/>
            <c:showLeaderLines val="1"/>
          </c:dLbls>
          <c:cat>
            <c:strRef>
              <c:f>Лист1!$A$2:$A$7</c:f>
              <c:strCache>
                <c:ptCount val="6"/>
                <c:pt idx="0">
                  <c:v>Расходы на обеспечение деятельности                            государственных учреждений</c:v>
                </c:pt>
                <c:pt idx="1">
                  <c:v>Расходы на обеспечение функций исполнительных органов государственной власти</c:v>
                </c:pt>
                <c:pt idx="2">
                  <c:v>Капитальные вложения в объекты государственной и муниципальной собственности</c:v>
                </c:pt>
                <c:pt idx="4">
                  <c:v>Развитие спорта высших достижений</c:v>
                </c:pt>
                <c:pt idx="5">
                  <c:v>Совершенствование материально-технической базы для занятий физической культурой и сортом в муниципальных образованиях области</c:v>
                </c:pt>
              </c:strCache>
            </c:strRef>
          </c:cat>
          <c:val>
            <c:numRef>
              <c:f>Лист1!$B$2:$B$7</c:f>
              <c:numCache>
                <c:formatCode>General</c:formatCode>
                <c:ptCount val="6"/>
                <c:pt idx="0">
                  <c:v>128.5</c:v>
                </c:pt>
                <c:pt idx="1">
                  <c:v>9.6</c:v>
                </c:pt>
                <c:pt idx="2">
                  <c:v>25</c:v>
                </c:pt>
                <c:pt idx="4">
                  <c:v>10.5</c:v>
                </c:pt>
                <c:pt idx="5">
                  <c:v>1.6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areaChart>
        <c:grouping val="standard"/>
        <c:varyColors val="0"/>
        <c:ser>
          <c:idx val="0"/>
          <c:order val="0"/>
          <c:tx>
            <c:strRef>
              <c:f>Лист1!$B$1</c:f>
              <c:strCache>
                <c:ptCount val="1"/>
                <c:pt idx="0">
                  <c:v>Денежные доходы (в среднем на душу населения в месяц), рублей</c:v>
                </c:pt>
              </c:strCache>
            </c:strRef>
          </c:tx>
          <c:spPr>
            <a:effectLst>
              <a:glow rad="139700">
                <a:schemeClr val="accent1">
                  <a:satMod val="175000"/>
                  <a:alpha val="40000"/>
                </a:schemeClr>
              </a:glow>
              <a:softEdge rad="0"/>
            </a:effectLst>
          </c:spPr>
          <c:dLbls>
            <c:dLbl>
              <c:idx val="0"/>
              <c:layout>
                <c:manualLayout>
                  <c:x val="3.9351868346773393E-2"/>
                  <c:y val="-0.26088665640932812"/>
                </c:manualLayout>
              </c:layout>
              <c:showLegendKey val="0"/>
              <c:showVal val="1"/>
              <c:showCatName val="0"/>
              <c:showSerName val="0"/>
              <c:showPercent val="0"/>
              <c:showBubbleSize val="0"/>
            </c:dLbl>
            <c:dLbl>
              <c:idx val="1"/>
              <c:layout>
                <c:manualLayout>
                  <c:x val="2.314778525987419E-3"/>
                  <c:y val="-0.28221950704437809"/>
                </c:manualLayout>
              </c:layout>
              <c:showLegendKey val="0"/>
              <c:showVal val="1"/>
              <c:showCatName val="0"/>
              <c:showSerName val="0"/>
              <c:showPercent val="0"/>
              <c:showBubbleSize val="0"/>
            </c:dLbl>
            <c:dLbl>
              <c:idx val="2"/>
              <c:layout>
                <c:manualLayout>
                  <c:x val="-4.6295570519748379E-3"/>
                  <c:y val="-0.26592797783933519"/>
                </c:manualLayout>
              </c:layout>
              <c:showLegendKey val="0"/>
              <c:showVal val="1"/>
              <c:showCatName val="0"/>
              <c:showSerName val="0"/>
              <c:showPercent val="0"/>
              <c:showBubbleSize val="0"/>
            </c:dLbl>
            <c:dLbl>
              <c:idx val="3"/>
              <c:layout>
                <c:manualLayout>
                  <c:x val="-4.4892736824186569E-2"/>
                  <c:y val="-0.2920581048058648"/>
                </c:manualLayout>
              </c:layout>
              <c:showLegendKey val="0"/>
              <c:showVal val="1"/>
              <c:showCatName val="0"/>
              <c:showSerName val="0"/>
              <c:showPercent val="0"/>
              <c:showBubbleSize val="0"/>
            </c:dLbl>
            <c:txPr>
              <a:bodyPr anchor="t" anchorCtr="0"/>
              <a:lstStyle/>
              <a:p>
                <a:pPr>
                  <a:defRPr sz="1100" b="1"/>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26765.3</c:v>
                </c:pt>
                <c:pt idx="1">
                  <c:v>30197.1</c:v>
                </c:pt>
                <c:pt idx="2">
                  <c:v>29660.799999999999</c:v>
                </c:pt>
                <c:pt idx="3">
                  <c:v>31772.9</c:v>
                </c:pt>
              </c:numCache>
            </c:numRef>
          </c:val>
        </c:ser>
        <c:ser>
          <c:idx val="1"/>
          <c:order val="1"/>
          <c:tx>
            <c:strRef>
              <c:f>Лист1!$C$1</c:f>
              <c:strCache>
                <c:ptCount val="1"/>
                <c:pt idx="0">
                  <c:v>Величина прожиточного минимума (в среднем на душу населения), рублей в месяц</c:v>
                </c:pt>
              </c:strCache>
            </c:strRef>
          </c:tx>
          <c:dLbls>
            <c:dLbl>
              <c:idx val="0"/>
              <c:layout>
                <c:manualLayout>
                  <c:x val="3.7037037037037035E-2"/>
                  <c:y val="-0.11080332409972299"/>
                </c:manualLayout>
              </c:layout>
              <c:showLegendKey val="0"/>
              <c:showVal val="1"/>
              <c:showCatName val="0"/>
              <c:showSerName val="0"/>
              <c:showPercent val="0"/>
              <c:showBubbleSize val="0"/>
            </c:dLbl>
            <c:dLbl>
              <c:idx val="1"/>
              <c:layout>
                <c:manualLayout>
                  <c:x val="4.6296296296296294E-3"/>
                  <c:y val="-0.11449676823638043"/>
                </c:manualLayout>
              </c:layout>
              <c:showLegendKey val="0"/>
              <c:showVal val="1"/>
              <c:showCatName val="0"/>
              <c:showSerName val="0"/>
              <c:showPercent val="0"/>
              <c:showBubbleSize val="0"/>
            </c:dLbl>
            <c:dLbl>
              <c:idx val="2"/>
              <c:layout>
                <c:manualLayout>
                  <c:x val="0"/>
                  <c:y val="-0.11449676823638043"/>
                </c:manualLayout>
              </c:layout>
              <c:showLegendKey val="0"/>
              <c:showVal val="1"/>
              <c:showCatName val="0"/>
              <c:showSerName val="0"/>
              <c:showPercent val="0"/>
              <c:showBubbleSize val="0"/>
            </c:dLbl>
            <c:dLbl>
              <c:idx val="3"/>
              <c:layout>
                <c:manualLayout>
                  <c:x val="-3.0092592592592591E-2"/>
                  <c:y val="-0.12188365650969529"/>
                </c:manualLayout>
              </c:layout>
              <c:showLegendKey val="0"/>
              <c:showVal val="1"/>
              <c:showCatName val="0"/>
              <c:showSerName val="0"/>
              <c:showPercent val="0"/>
              <c:showBubbleSize val="0"/>
            </c:dLbl>
            <c:txPr>
              <a:bodyPr/>
              <a:lstStyle/>
              <a:p>
                <a:pPr>
                  <a:defRPr sz="1100" b="1">
                    <a:solidFill>
                      <a:schemeClr val="bg1"/>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9456</c:v>
                </c:pt>
                <c:pt idx="1">
                  <c:v>10740</c:v>
                </c:pt>
                <c:pt idx="2">
                  <c:v>11541</c:v>
                </c:pt>
                <c:pt idx="3">
                  <c:v>11330</c:v>
                </c:pt>
              </c:numCache>
            </c:numRef>
          </c:val>
        </c:ser>
        <c:dLbls>
          <c:showLegendKey val="0"/>
          <c:showVal val="1"/>
          <c:showCatName val="0"/>
          <c:showSerName val="0"/>
          <c:showPercent val="0"/>
          <c:showBubbleSize val="0"/>
        </c:dLbls>
        <c:axId val="199570560"/>
        <c:axId val="199575040"/>
      </c:areaChart>
      <c:lineChart>
        <c:grouping val="standard"/>
        <c:varyColors val="0"/>
        <c:ser>
          <c:idx val="2"/>
          <c:order val="2"/>
          <c:tx>
            <c:strRef>
              <c:f>Лист1!$D$1</c:f>
              <c:strCache>
                <c:ptCount val="1"/>
                <c:pt idx="0">
                  <c:v>Доля населения с денежными доходами ниже величины прожиточного минимума в общей численности населения, процентов </c:v>
                </c:pt>
              </c:strCache>
            </c:strRef>
          </c:tx>
          <c:spPr>
            <a:ln>
              <a:solidFill>
                <a:srgbClr val="92D050"/>
              </a:solidFill>
            </a:ln>
          </c:spPr>
          <c:marker>
            <c:symbol val="square"/>
            <c:size val="5"/>
            <c:spPr>
              <a:solidFill>
                <a:srgbClr val="92D050"/>
              </a:solidFill>
            </c:spPr>
          </c:marker>
          <c:dLbls>
            <c:dLbl>
              <c:idx val="0"/>
              <c:layout>
                <c:manualLayout>
                  <c:x val="-1.0749357687755094E-2"/>
                  <c:y val="6.9252119347150573E-2"/>
                </c:manualLayout>
              </c:layout>
              <c:dLblPos val="r"/>
              <c:showLegendKey val="0"/>
              <c:showVal val="1"/>
              <c:showCatName val="0"/>
              <c:showSerName val="0"/>
              <c:showPercent val="0"/>
              <c:showBubbleSize val="0"/>
            </c:dLbl>
            <c:dLbl>
              <c:idx val="1"/>
              <c:layout>
                <c:manualLayout>
                  <c:x val="-4.751139139281798E-2"/>
                  <c:y val="6.0286314626184195E-2"/>
                </c:manualLayout>
              </c:layout>
              <c:dLblPos val="r"/>
              <c:showLegendKey val="0"/>
              <c:showVal val="1"/>
              <c:showCatName val="0"/>
              <c:showSerName val="0"/>
              <c:showPercent val="0"/>
              <c:showBubbleSize val="0"/>
            </c:dLbl>
            <c:dLbl>
              <c:idx val="3"/>
              <c:layout>
                <c:manualLayout>
                  <c:x val="-8.9452936030055066E-2"/>
                  <c:y val="4.709144115606239E-2"/>
                </c:manualLayout>
              </c:layout>
              <c:dLblPos val="r"/>
              <c:showLegendKey val="0"/>
              <c:showVal val="1"/>
              <c:showCatName val="0"/>
              <c:showSerName val="0"/>
              <c:showPercent val="0"/>
              <c:showBubbleSize val="0"/>
            </c:dLbl>
            <c:numFmt formatCode="0.0%" sourceLinked="0"/>
            <c:spPr>
              <a:solidFill>
                <a:schemeClr val="accent3">
                  <a:lumMod val="60000"/>
                  <a:lumOff val="40000"/>
                </a:schemeClr>
              </a:solidFill>
              <a:ln w="28575">
                <a:solidFill>
                  <a:srgbClr val="00B050"/>
                </a:solidFill>
              </a:ln>
            </c:spPr>
            <c:txPr>
              <a:bodyPr/>
              <a:lstStyle/>
              <a:p>
                <a:pPr>
                  <a:defRPr sz="1100" b="1">
                    <a:solidFill>
                      <a:sysClr val="windowText" lastClr="000000"/>
                    </a:solidFill>
                  </a:defRPr>
                </a:pPr>
                <a:endParaRPr lang="ru-RU"/>
              </a:p>
            </c:txPr>
            <c:dLblPos val="b"/>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0.14000000000000001</c:v>
                </c:pt>
                <c:pt idx="1">
                  <c:v>0.14199999999999999</c:v>
                </c:pt>
                <c:pt idx="2">
                  <c:v>0.16</c:v>
                </c:pt>
                <c:pt idx="3">
                  <c:v>0.14899999999999999</c:v>
                </c:pt>
              </c:numCache>
            </c:numRef>
          </c:val>
          <c:smooth val="0"/>
        </c:ser>
        <c:dLbls>
          <c:showLegendKey val="0"/>
          <c:showVal val="1"/>
          <c:showCatName val="0"/>
          <c:showSerName val="0"/>
          <c:showPercent val="0"/>
          <c:showBubbleSize val="0"/>
        </c:dLbls>
        <c:marker val="1"/>
        <c:smooth val="0"/>
        <c:axId val="6112000"/>
        <c:axId val="199576576"/>
      </c:lineChart>
      <c:catAx>
        <c:axId val="199570560"/>
        <c:scaling>
          <c:orientation val="minMax"/>
        </c:scaling>
        <c:delete val="0"/>
        <c:axPos val="b"/>
        <c:numFmt formatCode="General" sourceLinked="1"/>
        <c:majorTickMark val="out"/>
        <c:minorTickMark val="none"/>
        <c:tickLblPos val="nextTo"/>
        <c:crossAx val="199575040"/>
        <c:crosses val="autoZero"/>
        <c:auto val="1"/>
        <c:lblAlgn val="ctr"/>
        <c:lblOffset val="100"/>
        <c:noMultiLvlLbl val="0"/>
      </c:catAx>
      <c:valAx>
        <c:axId val="199575040"/>
        <c:scaling>
          <c:orientation val="minMax"/>
        </c:scaling>
        <c:delete val="0"/>
        <c:axPos val="l"/>
        <c:majorGridlines>
          <c:spPr>
            <a:ln>
              <a:noFill/>
            </a:ln>
          </c:spPr>
        </c:majorGridlines>
        <c:numFmt formatCode="General" sourceLinked="1"/>
        <c:majorTickMark val="none"/>
        <c:minorTickMark val="none"/>
        <c:tickLblPos val="none"/>
        <c:spPr>
          <a:noFill/>
          <a:ln>
            <a:noFill/>
          </a:ln>
        </c:spPr>
        <c:crossAx val="199570560"/>
        <c:crosses val="autoZero"/>
        <c:crossBetween val="between"/>
      </c:valAx>
      <c:valAx>
        <c:axId val="199576576"/>
        <c:scaling>
          <c:orientation val="minMax"/>
          <c:max val="0.24000000000000002"/>
          <c:min val="0"/>
        </c:scaling>
        <c:delete val="0"/>
        <c:axPos val="r"/>
        <c:numFmt formatCode="0.0%" sourceLinked="0"/>
        <c:majorTickMark val="none"/>
        <c:minorTickMark val="none"/>
        <c:tickLblPos val="none"/>
        <c:spPr>
          <a:noFill/>
          <a:ln>
            <a:noFill/>
          </a:ln>
        </c:spPr>
        <c:crossAx val="6112000"/>
        <c:crosses val="max"/>
        <c:crossBetween val="between"/>
        <c:majorUnit val="8.0000000000000016E-2"/>
      </c:valAx>
      <c:catAx>
        <c:axId val="6112000"/>
        <c:scaling>
          <c:orientation val="minMax"/>
        </c:scaling>
        <c:delete val="1"/>
        <c:axPos val="b"/>
        <c:numFmt formatCode="General" sourceLinked="1"/>
        <c:majorTickMark val="out"/>
        <c:minorTickMark val="none"/>
        <c:tickLblPos val="nextTo"/>
        <c:crossAx val="199576576"/>
        <c:crosses val="autoZero"/>
        <c:auto val="1"/>
        <c:lblAlgn val="ctr"/>
        <c:lblOffset val="100"/>
        <c:noMultiLvlLbl val="0"/>
      </c:catAx>
    </c:plotArea>
    <c:legend>
      <c:legendPos val="b"/>
      <c:layout>
        <c:manualLayout>
          <c:xMode val="edge"/>
          <c:yMode val="edge"/>
          <c:x val="0"/>
          <c:y val="0.71441970030754465"/>
          <c:w val="0.99813666520851563"/>
          <c:h val="0.24864585832588101"/>
        </c:manualLayout>
      </c:layout>
      <c:overlay val="0"/>
    </c:legend>
    <c:plotVisOnly val="1"/>
    <c:dispBlanksAs val="gap"/>
    <c:showDLblsOverMax val="0"/>
  </c:chart>
  <c:spPr>
    <a:solidFill>
      <a:schemeClr val="bg1"/>
    </a:solid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0"/>
      <c:rAngAx val="0"/>
      <c:perspective val="30"/>
    </c:view3D>
    <c:floor>
      <c:thickness val="0"/>
    </c:floor>
    <c:sideWall>
      <c:thickness val="0"/>
    </c:sideWall>
    <c:backWall>
      <c:thickness val="0"/>
    </c:backWall>
    <c:plotArea>
      <c:layout>
        <c:manualLayout>
          <c:layoutTarget val="inner"/>
          <c:xMode val="edge"/>
          <c:yMode val="edge"/>
          <c:x val="0"/>
          <c:y val="6.1340500240542774E-5"/>
          <c:w val="1"/>
          <c:h val="0.51654025300259843"/>
        </c:manualLayout>
      </c:layout>
      <c:pie3DChart>
        <c:varyColors val="1"/>
        <c:ser>
          <c:idx val="0"/>
          <c:order val="0"/>
          <c:tx>
            <c:strRef>
              <c:f>Лист1!$B$1</c:f>
              <c:strCache>
                <c:ptCount val="1"/>
                <c:pt idx="0">
                  <c:v>Столбец1</c:v>
                </c:pt>
              </c:strCache>
            </c:strRef>
          </c:tx>
          <c:explosion val="25"/>
          <c:dPt>
            <c:idx val="0"/>
            <c:bubble3D val="0"/>
            <c:explosion val="41"/>
            <c:spPr>
              <a:solidFill>
                <a:srgbClr val="FFD13F"/>
              </a:solidFill>
            </c:spPr>
          </c:dPt>
          <c:dPt>
            <c:idx val="1"/>
            <c:bubble3D val="0"/>
            <c:spPr>
              <a:solidFill>
                <a:srgbClr val="FFCCCC"/>
              </a:solidFill>
            </c:spPr>
          </c:dPt>
          <c:dPt>
            <c:idx val="2"/>
            <c:bubble3D val="0"/>
            <c:explosion val="40"/>
            <c:spPr>
              <a:solidFill>
                <a:srgbClr val="30F0B5"/>
              </a:solidFill>
            </c:spPr>
          </c:dPt>
          <c:dPt>
            <c:idx val="3"/>
            <c:bubble3D val="0"/>
            <c:explosion val="33"/>
            <c:spPr>
              <a:solidFill>
                <a:srgbClr val="FFFF00"/>
              </a:solidFill>
            </c:spPr>
          </c:dPt>
          <c:dPt>
            <c:idx val="4"/>
            <c:bubble3D val="0"/>
            <c:explosion val="30"/>
            <c:spPr>
              <a:solidFill>
                <a:srgbClr val="FF0000">
                  <a:alpha val="72000"/>
                </a:srgbClr>
              </a:solidFill>
            </c:spPr>
          </c:dPt>
          <c:dPt>
            <c:idx val="5"/>
            <c:bubble3D val="0"/>
            <c:explosion val="32"/>
            <c:spPr>
              <a:solidFill>
                <a:srgbClr val="00B0F0"/>
              </a:solidFill>
              <a:effectLst/>
            </c:spPr>
          </c:dPt>
          <c:dPt>
            <c:idx val="6"/>
            <c:bubble3D val="0"/>
            <c:explosion val="41"/>
            <c:spPr>
              <a:solidFill>
                <a:srgbClr val="F04EC2"/>
              </a:solidFill>
              <a:effectLst/>
            </c:spPr>
          </c:dPt>
          <c:dPt>
            <c:idx val="7"/>
            <c:bubble3D val="0"/>
            <c:explosion val="40"/>
            <c:spPr>
              <a:solidFill>
                <a:srgbClr val="53D2FF"/>
              </a:solidFill>
            </c:spPr>
          </c:dPt>
          <c:dPt>
            <c:idx val="8"/>
            <c:bubble3D val="0"/>
            <c:explosion val="38"/>
            <c:spPr>
              <a:solidFill>
                <a:srgbClr val="00B050"/>
              </a:solidFill>
            </c:spPr>
          </c:dPt>
          <c:dPt>
            <c:idx val="9"/>
            <c:bubble3D val="0"/>
            <c:explosion val="37"/>
            <c:spPr>
              <a:solidFill>
                <a:srgbClr val="7030A0"/>
              </a:solidFill>
            </c:spPr>
          </c:dPt>
          <c:dLbls>
            <c:dLbl>
              <c:idx val="0"/>
              <c:layout>
                <c:manualLayout>
                  <c:x val="1.5583826220629269E-2"/>
                  <c:y val="3.4471389476248518E-2"/>
                </c:manualLayout>
              </c:layout>
              <c:showLegendKey val="0"/>
              <c:showVal val="1"/>
              <c:showCatName val="0"/>
              <c:showSerName val="0"/>
              <c:showPercent val="0"/>
              <c:showBubbleSize val="0"/>
            </c:dLbl>
            <c:dLbl>
              <c:idx val="1"/>
              <c:layout>
                <c:manualLayout>
                  <c:x val="1.7531825036319598E-2"/>
                  <c:y val="5.7548342886386002E-2"/>
                </c:manualLayout>
              </c:layout>
              <c:showLegendKey val="0"/>
              <c:showVal val="1"/>
              <c:showCatName val="0"/>
              <c:showSerName val="0"/>
              <c:showPercent val="0"/>
              <c:showBubbleSize val="0"/>
            </c:dLbl>
            <c:dLbl>
              <c:idx val="2"/>
              <c:layout>
                <c:manualLayout>
                  <c:x val="1.8647783872028832E-2"/>
                  <c:y val="4.465895120012689E-2"/>
                </c:manualLayout>
              </c:layout>
              <c:showLegendKey val="0"/>
              <c:showVal val="1"/>
              <c:showCatName val="0"/>
              <c:showSerName val="0"/>
              <c:showPercent val="0"/>
              <c:showBubbleSize val="0"/>
            </c:dLbl>
            <c:dLbl>
              <c:idx val="3"/>
              <c:layout>
                <c:manualLayout>
                  <c:x val="-1.5815660425161877E-2"/>
                  <c:y val="6.5894813310187511E-2"/>
                </c:manualLayout>
              </c:layout>
              <c:showLegendKey val="0"/>
              <c:showVal val="1"/>
              <c:showCatName val="0"/>
              <c:showSerName val="0"/>
              <c:showPercent val="0"/>
              <c:showBubbleSize val="0"/>
            </c:dLbl>
            <c:dLbl>
              <c:idx val="4"/>
              <c:layout>
                <c:manualLayout>
                  <c:x val="-2.3079086845980264E-2"/>
                  <c:y val="2.7219189762095253E-2"/>
                </c:manualLayout>
              </c:layout>
              <c:showLegendKey val="0"/>
              <c:showVal val="1"/>
              <c:showCatName val="0"/>
              <c:showSerName val="0"/>
              <c:showPercent val="0"/>
              <c:showBubbleSize val="0"/>
            </c:dLbl>
            <c:dLbl>
              <c:idx val="5"/>
              <c:layout>
                <c:manualLayout>
                  <c:x val="-3.6756647693832946E-2"/>
                  <c:y val="1.4529373774833045E-2"/>
                </c:manualLayout>
              </c:layout>
              <c:showLegendKey val="0"/>
              <c:showVal val="1"/>
              <c:showCatName val="0"/>
              <c:showSerName val="0"/>
              <c:showPercent val="0"/>
              <c:showBubbleSize val="0"/>
            </c:dLbl>
            <c:dLbl>
              <c:idx val="6"/>
              <c:layout>
                <c:manualLayout>
                  <c:x val="-2.075220094619902E-2"/>
                  <c:y val="-2.8901014834761835E-2"/>
                </c:manualLayout>
              </c:layout>
              <c:showLegendKey val="0"/>
              <c:showVal val="1"/>
              <c:showCatName val="0"/>
              <c:showSerName val="0"/>
              <c:showPercent val="0"/>
              <c:showBubbleSize val="0"/>
            </c:dLbl>
            <c:dLbl>
              <c:idx val="7"/>
              <c:layout>
                <c:manualLayout>
                  <c:x val="8.186392728785527E-2"/>
                  <c:y val="0"/>
                </c:manualLayout>
              </c:layout>
              <c:showLegendKey val="0"/>
              <c:showVal val="1"/>
              <c:showCatName val="0"/>
              <c:showSerName val="0"/>
              <c:showPercent val="0"/>
              <c:showBubbleSize val="0"/>
            </c:dLbl>
            <c:dLbl>
              <c:idx val="8"/>
              <c:layout>
                <c:manualLayout>
                  <c:x val="5.2447929314720435E-2"/>
                  <c:y val="9.9340940139558409E-3"/>
                </c:manualLayout>
              </c:layout>
              <c:showLegendKey val="0"/>
              <c:showVal val="1"/>
              <c:showCatName val="0"/>
              <c:showSerName val="0"/>
              <c:showPercent val="0"/>
              <c:showBubbleSize val="0"/>
            </c:dLbl>
            <c:dLbl>
              <c:idx val="9"/>
              <c:layout>
                <c:manualLayout>
                  <c:x val="-1.5359221431404514E-3"/>
                  <c:y val="3.0086200928695173E-2"/>
                </c:manualLayout>
              </c:layout>
              <c:showLegendKey val="0"/>
              <c:showVal val="1"/>
              <c:showCatName val="0"/>
              <c:showSerName val="0"/>
              <c:showPercent val="0"/>
              <c:showBubbleSize val="0"/>
            </c:dLbl>
            <c:numFmt formatCode="#,##0.0" sourceLinked="0"/>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1"/>
          </c:dLbls>
          <c:cat>
            <c:strRef>
              <c:f>Лист1!$A$2:$A$11</c:f>
              <c:strCache>
                <c:ptCount val="10"/>
                <c:pt idx="0">
                  <c:v>Содержание органов государственной власти</c:v>
                </c:pt>
                <c:pt idx="1">
                  <c:v>Резервный фонд Правительства области</c:v>
                </c:pt>
                <c:pt idx="2">
                  <c:v>Исполнение судебных актов</c:v>
                </c:pt>
                <c:pt idx="3">
                  <c:v>Обеспечение деятельности государственных учреждений</c:v>
                </c:pt>
                <c:pt idx="4">
                  <c:v>Вовлечение в хозяйственный оборот государственного имущества области</c:v>
                </c:pt>
                <c:pt idx="5">
                  <c:v>Прочие мероприятия по реализации гос.программы</c:v>
                </c:pt>
                <c:pt idx="6">
                  <c:v>Обслуживание государственного долга области</c:v>
                </c:pt>
                <c:pt idx="7">
                  <c:v>Дотации местным бюджетам</c:v>
                </c:pt>
                <c:pt idx="8">
                  <c:v>Обеспечение переданных гос.полномочий</c:v>
                </c:pt>
                <c:pt idx="9">
                  <c:v>Обеспечение деятельности мировых судей и Общественной палаты области</c:v>
                </c:pt>
              </c:strCache>
            </c:strRef>
          </c:cat>
          <c:val>
            <c:numRef>
              <c:f>Лист1!$B$2:$B$11</c:f>
              <c:numCache>
                <c:formatCode>General</c:formatCode>
                <c:ptCount val="10"/>
                <c:pt idx="0">
                  <c:v>231.6</c:v>
                </c:pt>
                <c:pt idx="1">
                  <c:v>46.2</c:v>
                </c:pt>
                <c:pt idx="2">
                  <c:v>77.599999999999994</c:v>
                </c:pt>
                <c:pt idx="3">
                  <c:v>93.9</c:v>
                </c:pt>
                <c:pt idx="4">
                  <c:v>4.8</c:v>
                </c:pt>
                <c:pt idx="5">
                  <c:v>142.4</c:v>
                </c:pt>
                <c:pt idx="6">
                  <c:v>792.8</c:v>
                </c:pt>
                <c:pt idx="7">
                  <c:v>4087.4</c:v>
                </c:pt>
                <c:pt idx="8" formatCode="0.0">
                  <c:v>82</c:v>
                </c:pt>
                <c:pt idx="9">
                  <c:v>187.5</c:v>
                </c:pt>
              </c:numCache>
            </c:numRef>
          </c:val>
        </c:ser>
        <c:dLbls>
          <c:showLegendKey val="0"/>
          <c:showVal val="0"/>
          <c:showCatName val="0"/>
          <c:showSerName val="0"/>
          <c:showPercent val="0"/>
          <c:showBubbleSize val="0"/>
          <c:showLeaderLines val="1"/>
        </c:dLbls>
      </c:pie3DChart>
      <c:spPr>
        <a:ln>
          <a:noFill/>
        </a:ln>
      </c:spPr>
    </c:plotArea>
    <c:legend>
      <c:legendPos val="b"/>
      <c:layout>
        <c:manualLayout>
          <c:xMode val="edge"/>
          <c:yMode val="edge"/>
          <c:x val="2.2289297171186932E-2"/>
          <c:y val="0.60890817219589088"/>
          <c:w val="0.97393974190726162"/>
          <c:h val="0.39109182780410917"/>
        </c:manualLayout>
      </c:layout>
      <c:overlay val="0"/>
      <c:txPr>
        <a:bodyPr/>
        <a:lstStyle/>
        <a:p>
          <a:pPr>
            <a:defRPr sz="1100" baseline="0">
              <a:latin typeface="Times New Roman" pitchFamily="18" charset="0"/>
            </a:defRPr>
          </a:pPr>
          <a:endParaRPr lang="ru-RU"/>
        </a:p>
      </c:txPr>
    </c:legend>
    <c:plotVisOnly val="1"/>
    <c:dispBlanksAs val="gap"/>
    <c:showDLblsOverMax val="0"/>
  </c:chart>
  <c:spPr>
    <a:ln>
      <a:noFill/>
    </a:ln>
    <a:scene3d>
      <a:camera prst="orthographicFront"/>
      <a:lightRig rig="threePt" dir="t"/>
    </a:scene3d>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hPercent val="90"/>
      <c:rotY val="180"/>
      <c:depthPercent val="100"/>
      <c:rAngAx val="0"/>
      <c:perspective val="30"/>
    </c:view3D>
    <c:floor>
      <c:thickness val="0"/>
    </c:floor>
    <c:sideWall>
      <c:thickness val="0"/>
    </c:sideWall>
    <c:backWall>
      <c:thickness val="0"/>
    </c:backWall>
    <c:plotArea>
      <c:layout>
        <c:manualLayout>
          <c:layoutTarget val="inner"/>
          <c:xMode val="edge"/>
          <c:yMode val="edge"/>
          <c:x val="0.11681820838023073"/>
          <c:y val="0"/>
          <c:w val="0.7399165140816325"/>
          <c:h val="0.97153693158597387"/>
        </c:manualLayout>
      </c:layout>
      <c:pie3DChart>
        <c:varyColors val="1"/>
        <c:ser>
          <c:idx val="0"/>
          <c:order val="0"/>
          <c:dPt>
            <c:idx val="0"/>
            <c:bubble3D val="0"/>
            <c:explosion val="23"/>
            <c:spPr>
              <a:solidFill>
                <a:schemeClr val="tx2">
                  <a:lumMod val="60000"/>
                  <a:lumOff val="40000"/>
                </a:schemeClr>
              </a:solidFill>
            </c:spPr>
          </c:dPt>
          <c:dPt>
            <c:idx val="1"/>
            <c:bubble3D val="0"/>
            <c:explosion val="49"/>
            <c:spPr>
              <a:solidFill>
                <a:srgbClr val="00B050"/>
              </a:solidFill>
            </c:spPr>
          </c:dPt>
          <c:dPt>
            <c:idx val="2"/>
            <c:bubble3D val="0"/>
            <c:explosion val="39"/>
            <c:spPr>
              <a:solidFill>
                <a:srgbClr val="00FFFF"/>
              </a:solidFill>
            </c:spPr>
          </c:dPt>
          <c:dPt>
            <c:idx val="4"/>
            <c:bubble3D val="0"/>
            <c:explosion val="20"/>
            <c:spPr>
              <a:solidFill>
                <a:srgbClr val="FF0000"/>
              </a:solidFill>
            </c:spPr>
          </c:dPt>
          <c:dPt>
            <c:idx val="5"/>
            <c:bubble3D val="0"/>
            <c:explosion val="5"/>
            <c:spPr>
              <a:solidFill>
                <a:srgbClr val="FFFF00"/>
              </a:solidFill>
            </c:spPr>
          </c:dPt>
          <c:dLbls>
            <c:dLbl>
              <c:idx val="0"/>
              <c:layout>
                <c:manualLayout>
                  <c:x val="7.7050343641532723E-2"/>
                  <c:y val="-5.4933929106612538E-2"/>
                </c:manualLayout>
              </c:layout>
              <c:tx>
                <c:rich>
                  <a:bodyPr/>
                  <a:lstStyle/>
                  <a:p>
                    <a:r>
                      <a:rPr lang="ru-RU" sz="900" b="1"/>
                      <a:t>Расходы на обеспечение деятельности (оказания услуг) государственных учреждений</a:t>
                    </a:r>
                    <a:r>
                      <a:rPr lang="en-US" sz="900" b="1"/>
                      <a:t>:</a:t>
                    </a:r>
                    <a:r>
                      <a:rPr lang="ru-RU" sz="900" b="1"/>
                      <a:t> 767,2</a:t>
                    </a:r>
                    <a:endParaRPr lang="ru-RU"/>
                  </a:p>
                </c:rich>
              </c:tx>
              <c:showLegendKey val="0"/>
              <c:showVal val="1"/>
              <c:showCatName val="1"/>
              <c:showSerName val="0"/>
              <c:showPercent val="0"/>
              <c:showBubbleSize val="0"/>
            </c:dLbl>
            <c:dLbl>
              <c:idx val="1"/>
              <c:layout>
                <c:manualLayout>
                  <c:x val="0.17070869366475089"/>
                  <c:y val="-0.29818490118836277"/>
                </c:manualLayout>
              </c:layout>
              <c:tx>
                <c:rich>
                  <a:bodyPr/>
                  <a:lstStyle/>
                  <a:p>
                    <a:r>
                      <a:rPr lang="ru-RU" sz="900" b="1"/>
                      <a:t>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a:t>
                    </a:r>
                    <a:r>
                      <a:rPr lang="en-US" sz="900" b="1"/>
                      <a:t>:</a:t>
                    </a:r>
                    <a:r>
                      <a:rPr lang="ru-RU" sz="900" b="1"/>
                      <a:t> 7,5</a:t>
                    </a:r>
                    <a:endParaRPr lang="ru-RU"/>
                  </a:p>
                </c:rich>
              </c:tx>
              <c:dLblPos val="bestFit"/>
              <c:showLegendKey val="0"/>
              <c:showVal val="1"/>
              <c:showCatName val="1"/>
              <c:showSerName val="0"/>
              <c:showPercent val="0"/>
              <c:showBubbleSize val="0"/>
            </c:dLbl>
            <c:dLbl>
              <c:idx val="2"/>
              <c:layout>
                <c:manualLayout>
                  <c:x val="0.22507119429549208"/>
                  <c:y val="0.13326975913309283"/>
                </c:manualLayout>
              </c:layout>
              <c:tx>
                <c:rich>
                  <a:bodyPr/>
                  <a:lstStyle/>
                  <a:p>
                    <a:r>
                      <a:rPr lang="ru-RU" sz="900" b="1"/>
                      <a:t>Развитие аппаратно-программного комплекса "Безопасный город"</a:t>
                    </a:r>
                    <a:r>
                      <a:rPr lang="en-US" sz="900" b="1"/>
                      <a:t>:</a:t>
                    </a:r>
                    <a:r>
                      <a:rPr lang="ru-RU" sz="900" b="1"/>
                      <a:t> 0,7</a:t>
                    </a:r>
                  </a:p>
                  <a:p>
                    <a:endParaRPr lang="ru-RU"/>
                  </a:p>
                </c:rich>
              </c:tx>
              <c:showLegendKey val="0"/>
              <c:showVal val="1"/>
              <c:showCatName val="1"/>
              <c:showSerName val="0"/>
              <c:showPercent val="0"/>
              <c:showBubbleSize val="0"/>
            </c:dLbl>
            <c:dLbl>
              <c:idx val="3"/>
              <c:layout>
                <c:manualLayout>
                  <c:x val="-0.28294692064820792"/>
                  <c:y val="0.17587251374448604"/>
                </c:manualLayout>
              </c:layout>
              <c:tx>
                <c:rich>
                  <a:bodyPr/>
                  <a:lstStyle/>
                  <a:p>
                    <a:r>
                      <a:rPr lang="ru-RU" sz="900" b="1"/>
                      <a:t>Выплата вознаграждения гражданам, добровольно сдающим незаконно хранящиеся у них оружие, боеприпасы, взрывчатые вещества и взрывные устройства</a:t>
                    </a:r>
                    <a:r>
                      <a:rPr lang="en-US" sz="900" b="1"/>
                      <a:t>:</a:t>
                    </a:r>
                    <a:r>
                      <a:rPr lang="ru-RU" sz="900" b="1"/>
                      <a:t> 0,1</a:t>
                    </a:r>
                    <a:endParaRPr lang="ru-RU"/>
                  </a:p>
                </c:rich>
              </c:tx>
              <c:showLegendKey val="0"/>
              <c:showVal val="1"/>
              <c:showCatName val="1"/>
              <c:showSerName val="0"/>
              <c:showPercent val="0"/>
              <c:showBubbleSize val="0"/>
            </c:dLbl>
            <c:dLbl>
              <c:idx val="4"/>
              <c:layout>
                <c:manualLayout>
                  <c:x val="-5.1264568369014989E-2"/>
                  <c:y val="0.13542826872402272"/>
                </c:manualLayout>
              </c:layout>
              <c:tx>
                <c:rich>
                  <a:bodyPr/>
                  <a:lstStyle/>
                  <a:p>
                    <a:r>
                      <a:rPr lang="ru-RU" sz="900" b="1"/>
                      <a:t>Создание и функционирование центра для  реализации системы обеспечения вызова экстренных оперативных служб по единому номеру "112"</a:t>
                    </a:r>
                    <a:r>
                      <a:rPr lang="en-US" sz="900" b="1"/>
                      <a:t>:</a:t>
                    </a:r>
                    <a:r>
                      <a:rPr lang="ru-RU" sz="900" b="1"/>
                      <a:t>6,4</a:t>
                    </a:r>
                    <a:endParaRPr lang="ru-RU"/>
                  </a:p>
                </c:rich>
              </c:tx>
              <c:showLegendKey val="0"/>
              <c:showVal val="1"/>
              <c:showCatName val="1"/>
              <c:showSerName val="0"/>
              <c:showPercent val="0"/>
              <c:showBubbleSize val="0"/>
            </c:dLbl>
            <c:dLbl>
              <c:idx val="5"/>
              <c:layout>
                <c:manualLayout>
                  <c:x val="-0.43109022598213304"/>
                  <c:y val="-4.8952992874131511E-2"/>
                </c:manualLayout>
              </c:layout>
              <c:tx>
                <c:rich>
                  <a:bodyPr/>
                  <a:lstStyle/>
                  <a:p>
                    <a:r>
                      <a:rPr lang="ru-RU" sz="900" b="1"/>
                      <a:t>Создание системы обеспечения вызова экстренных оперативных служб по единому номеру "112" в Российской Федерации на 2013-2017 годы</a:t>
                    </a:r>
                    <a:r>
                      <a:rPr lang="en-US" sz="900" b="1"/>
                      <a:t>:</a:t>
                    </a:r>
                    <a:r>
                      <a:rPr lang="ru-RU" sz="900" b="1"/>
                      <a:t> 26,2</a:t>
                    </a:r>
                    <a:endParaRPr lang="ru-RU"/>
                  </a:p>
                </c:rich>
              </c:tx>
              <c:showLegendKey val="0"/>
              <c:showVal val="1"/>
              <c:showCatName val="1"/>
              <c:showSerName val="0"/>
              <c:showPercent val="0"/>
              <c:showBubbleSize val="0"/>
            </c:dLbl>
            <c:dLbl>
              <c:idx val="6"/>
              <c:layout>
                <c:manualLayout>
                  <c:x val="1.2034401795327479E-2"/>
                  <c:y val="0.19458520300461818"/>
                </c:manualLayout>
              </c:layout>
              <c:tx>
                <c:rich>
                  <a:bodyPr/>
                  <a:lstStyle/>
                  <a:p>
                    <a:r>
                      <a:rPr lang="ru-RU" sz="900" b="1"/>
                      <a:t>Капитальные вложения в объекты  государственной (муниципальной) собственности; </a:t>
                    </a:r>
                  </a:p>
                  <a:p>
                    <a:r>
                      <a:rPr lang="ru-RU" sz="900" b="1"/>
                      <a:t>19 716,3 тыс. руб.</a:t>
                    </a:r>
                    <a:endParaRPr lang="ru-RU"/>
                  </a:p>
                </c:rich>
              </c:tx>
              <c:showLegendKey val="0"/>
              <c:showVal val="1"/>
              <c:showCatName val="1"/>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Лист5!$A$2:$A$8</c:f>
              <c:strCache>
                <c:ptCount val="6"/>
                <c:pt idx="0">
                  <c:v>Расходы на обеспечение деятельности (оказания услуг) государственных учреждений</c:v>
                </c:pt>
                <c:pt idx="1">
                  <c:v>Создание, хранение, использование и восполнение резерва материальных ресурсов для ликвидации чрезвычайных ситуаций межмуниципального и регионального характера на территории Амурской области</c:v>
                </c:pt>
                <c:pt idx="2">
                  <c:v>Развитие аппаратно-программного комплекса "Безопасный город"</c:v>
                </c:pt>
                <c:pt idx="3">
                  <c:v>Выплата вознаграждения гражданам, добровольно сдающим незаконно хранящиеся у них оружие, боеприпасы, взрывчатые вещества и взрывные устройства</c:v>
                </c:pt>
                <c:pt idx="4">
                  <c:v>Создание и функционирование центра для  реализации системы обеспечения вызова экстренных оперативных служб по единому номеру "112"</c:v>
                </c:pt>
                <c:pt idx="5">
                  <c:v>Создание системы обеспечения вызова экстренных оперативных служб по единому номеру "112" в Российской Федерации на 2013-2017 годы</c:v>
                </c:pt>
              </c:strCache>
            </c:strRef>
          </c:cat>
          <c:val>
            <c:numRef>
              <c:f>Лист5!$B$2:$B$8</c:f>
              <c:numCache>
                <c:formatCode>#,##0.0</c:formatCode>
                <c:ptCount val="7"/>
                <c:pt idx="0">
                  <c:v>767174.9</c:v>
                </c:pt>
                <c:pt idx="1">
                  <c:v>7485.4</c:v>
                </c:pt>
                <c:pt idx="2">
                  <c:v>718.5</c:v>
                </c:pt>
                <c:pt idx="3">
                  <c:v>27.5</c:v>
                </c:pt>
                <c:pt idx="4">
                  <c:v>6434.2</c:v>
                </c:pt>
                <c:pt idx="5">
                  <c:v>26226.9</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60"/>
      <c:rAngAx val="0"/>
      <c:perspective val="30"/>
    </c:view3D>
    <c:floor>
      <c:thickness val="0"/>
    </c:floor>
    <c:sideWall>
      <c:thickness val="0"/>
    </c:sideWall>
    <c:backWall>
      <c:thickness val="0"/>
    </c:backWall>
    <c:plotArea>
      <c:layout>
        <c:manualLayout>
          <c:layoutTarget val="inner"/>
          <c:xMode val="edge"/>
          <c:yMode val="edge"/>
          <c:x val="0.18849896138713654"/>
          <c:y val="9.9785904165825418E-3"/>
          <c:w val="0.58754038694724564"/>
          <c:h val="0.735678923548018"/>
        </c:manualLayout>
      </c:layout>
      <c:pie3DChart>
        <c:varyColors val="1"/>
        <c:ser>
          <c:idx val="0"/>
          <c:order val="0"/>
          <c:tx>
            <c:strRef>
              <c:f>Лист1!$B$1</c:f>
              <c:strCache>
                <c:ptCount val="1"/>
                <c:pt idx="0">
                  <c:v>Продажи</c:v>
                </c:pt>
              </c:strCache>
            </c:strRef>
          </c:tx>
          <c:spPr>
            <a:scene3d>
              <a:camera prst="orthographicFront"/>
              <a:lightRig rig="threePt" dir="t"/>
            </a:scene3d>
            <a:sp3d>
              <a:bevelT/>
            </a:sp3d>
          </c:spPr>
          <c:explosion val="17"/>
          <c:dPt>
            <c:idx val="0"/>
            <c:bubble3D val="0"/>
            <c:spPr>
              <a:solidFill>
                <a:srgbClr val="7030A0"/>
              </a:solidFill>
              <a:scene3d>
                <a:camera prst="orthographicFront"/>
                <a:lightRig rig="threePt" dir="t"/>
              </a:scene3d>
              <a:sp3d>
                <a:bevelT/>
              </a:sp3d>
            </c:spPr>
          </c:dPt>
          <c:dPt>
            <c:idx val="1"/>
            <c:bubble3D val="0"/>
            <c:spPr>
              <a:solidFill>
                <a:schemeClr val="accent6">
                  <a:lumMod val="20000"/>
                  <a:lumOff val="80000"/>
                </a:schemeClr>
              </a:solidFill>
              <a:scene3d>
                <a:camera prst="orthographicFront"/>
                <a:lightRig rig="threePt" dir="t"/>
              </a:scene3d>
              <a:sp3d prstMaterial="flat">
                <a:bevelT/>
              </a:sp3d>
            </c:spPr>
          </c:dPt>
          <c:dPt>
            <c:idx val="2"/>
            <c:bubble3D val="0"/>
            <c:spPr>
              <a:solidFill>
                <a:srgbClr val="FFC000"/>
              </a:solidFill>
              <a:scene3d>
                <a:camera prst="orthographicFront"/>
                <a:lightRig rig="threePt" dir="t"/>
              </a:scene3d>
              <a:sp3d>
                <a:bevelT/>
              </a:sp3d>
            </c:spPr>
          </c:dPt>
          <c:dPt>
            <c:idx val="3"/>
            <c:bubble3D val="0"/>
            <c:spPr>
              <a:solidFill>
                <a:srgbClr val="FF0000"/>
              </a:solidFill>
              <a:scene3d>
                <a:camera prst="orthographicFront"/>
                <a:lightRig rig="threePt" dir="t"/>
              </a:scene3d>
              <a:sp3d>
                <a:bevelT/>
              </a:sp3d>
            </c:spPr>
          </c:dPt>
          <c:dPt>
            <c:idx val="4"/>
            <c:bubble3D val="0"/>
            <c:spPr>
              <a:solidFill>
                <a:srgbClr val="FFFF00"/>
              </a:solidFill>
              <a:scene3d>
                <a:camera prst="orthographicFront"/>
                <a:lightRig rig="threePt" dir="t"/>
              </a:scene3d>
              <a:sp3d>
                <a:bevelT/>
              </a:sp3d>
            </c:spPr>
          </c:dPt>
          <c:dPt>
            <c:idx val="5"/>
            <c:bubble3D val="0"/>
            <c:spPr>
              <a:solidFill>
                <a:srgbClr val="00B050"/>
              </a:solidFill>
              <a:scene3d>
                <a:camera prst="orthographicFront"/>
                <a:lightRig rig="threePt" dir="t"/>
              </a:scene3d>
              <a:sp3d>
                <a:bevelT/>
              </a:sp3d>
            </c:spPr>
          </c:dPt>
          <c:dPt>
            <c:idx val="6"/>
            <c:bubble3D val="0"/>
            <c:spPr>
              <a:solidFill>
                <a:srgbClr val="00B0F0"/>
              </a:solidFill>
              <a:scene3d>
                <a:camera prst="orthographicFront"/>
                <a:lightRig rig="threePt" dir="t"/>
              </a:scene3d>
              <a:sp3d>
                <a:bevelT w="165100" prst="coolSlant"/>
              </a:sp3d>
            </c:spPr>
          </c:dPt>
          <c:dLbls>
            <c:dLbl>
              <c:idx val="0"/>
              <c:layout>
                <c:manualLayout>
                  <c:x val="1.757455756626913E-2"/>
                  <c:y val="-1.5006267245440449E-2"/>
                </c:manualLayout>
              </c:layout>
              <c:showLegendKey val="0"/>
              <c:showVal val="1"/>
              <c:showCatName val="0"/>
              <c:showSerName val="0"/>
              <c:showPercent val="0"/>
              <c:showBubbleSize val="0"/>
            </c:dLbl>
            <c:dLbl>
              <c:idx val="1"/>
              <c:layout>
                <c:manualLayout>
                  <c:x val="2.681990683182146E-2"/>
                  <c:y val="1.5891252776095297E-2"/>
                </c:manualLayout>
              </c:layout>
              <c:showLegendKey val="0"/>
              <c:showVal val="1"/>
              <c:showCatName val="0"/>
              <c:showSerName val="0"/>
              <c:showPercent val="0"/>
              <c:showBubbleSize val="0"/>
            </c:dLbl>
            <c:dLbl>
              <c:idx val="2"/>
              <c:layout>
                <c:manualLayout>
                  <c:x val="-3.7970765350237655E-2"/>
                  <c:y val="-1.5578521434820648E-2"/>
                </c:manualLayout>
              </c:layout>
              <c:showLegendKey val="0"/>
              <c:showVal val="1"/>
              <c:showCatName val="0"/>
              <c:showSerName val="0"/>
              <c:showPercent val="0"/>
              <c:showBubbleSize val="0"/>
            </c:dLbl>
            <c:dLbl>
              <c:idx val="3"/>
              <c:layout>
                <c:manualLayout>
                  <c:x val="-1.5210338291046952E-2"/>
                  <c:y val="-3.3125967427148528E-3"/>
                </c:manualLayout>
              </c:layout>
              <c:showLegendKey val="0"/>
              <c:showVal val="1"/>
              <c:showCatName val="0"/>
              <c:showSerName val="0"/>
              <c:showPercent val="0"/>
              <c:showBubbleSize val="0"/>
            </c:dLbl>
            <c:dLbl>
              <c:idx val="4"/>
              <c:layout>
                <c:manualLayout>
                  <c:x val="-4.3649679388329064E-3"/>
                  <c:y val="-2.1300771634298332E-2"/>
                </c:manualLayout>
              </c:layout>
              <c:showLegendKey val="0"/>
              <c:showVal val="1"/>
              <c:showCatName val="0"/>
              <c:showSerName val="0"/>
              <c:showPercent val="0"/>
              <c:showBubbleSize val="0"/>
            </c:dLbl>
            <c:dLbl>
              <c:idx val="5"/>
              <c:layout>
                <c:manualLayout>
                  <c:x val="2.6032138694361023E-2"/>
                  <c:y val="-7.3643630491944823E-3"/>
                </c:manualLayout>
              </c:layout>
              <c:showLegendKey val="0"/>
              <c:showVal val="1"/>
              <c:showCatName val="0"/>
              <c:showSerName val="0"/>
              <c:showPercent val="0"/>
              <c:showBubbleSize val="0"/>
            </c:dLbl>
            <c:dLbl>
              <c:idx val="6"/>
              <c:layout>
                <c:manualLayout>
                  <c:x val="1.7191952796836069E-2"/>
                  <c:y val="-3.4422950736927117E-2"/>
                </c:manualLayout>
              </c:layout>
              <c:showLegendKey val="0"/>
              <c:showVal val="1"/>
              <c:showCatName val="0"/>
              <c:showSerName val="0"/>
              <c:showPercent val="0"/>
              <c:showBubbleSize val="0"/>
            </c:dLbl>
            <c:dLbl>
              <c:idx val="7"/>
              <c:layout>
                <c:manualLayout>
                  <c:x val="-4.599619846589037E-2"/>
                  <c:y val="-1.5646574917158155E-2"/>
                </c:manualLayout>
              </c:layout>
              <c:showLegendKey val="0"/>
              <c:showVal val="1"/>
              <c:showCatName val="0"/>
              <c:showSerName val="0"/>
              <c:showPercent val="0"/>
              <c:showBubbleSize val="0"/>
            </c:dLbl>
            <c:txPr>
              <a:bodyPr/>
              <a:lstStyle/>
              <a:p>
                <a:pPr>
                  <a:defRPr sz="1150" b="1" i="0" baseline="0">
                    <a:latin typeface="Times New Roman" pitchFamily="18" charset="0"/>
                  </a:defRPr>
                </a:pPr>
                <a:endParaRPr lang="ru-RU"/>
              </a:p>
            </c:txPr>
            <c:showLegendKey val="0"/>
            <c:showVal val="1"/>
            <c:showCatName val="0"/>
            <c:showSerName val="0"/>
            <c:showPercent val="0"/>
            <c:showBubbleSize val="0"/>
            <c:showLeaderLines val="1"/>
          </c:dLbls>
          <c:cat>
            <c:strRef>
              <c:f>Лист1!$A$2:$A$8</c:f>
              <c:strCache>
                <c:ptCount val="7"/>
                <c:pt idx="0">
                  <c:v>Социальное обеспечение детей-сирот в организациях профессионального образования</c:v>
                </c:pt>
                <c:pt idx="1">
                  <c:v>Обеспечение функций органов государственной власти</c:v>
                </c:pt>
                <c:pt idx="2">
                  <c:v>Обеспечение гос.гарантий реализации прав на получение общего и дошкольного образования</c:v>
                </c:pt>
                <c:pt idx="3">
                  <c:v>Оздоровление детей </c:v>
                </c:pt>
                <c:pt idx="4">
                  <c:v>Выплата компенсации части родительской платы, взимаемой за присмотр и уход за детьми</c:v>
                </c:pt>
                <c:pt idx="5">
                  <c:v>Обеспечение деятельности государственных учреждений</c:v>
                </c:pt>
                <c:pt idx="6">
                  <c:v>Прочие мероприятия в области образования</c:v>
                </c:pt>
              </c:strCache>
            </c:strRef>
          </c:cat>
          <c:val>
            <c:numRef>
              <c:f>Лист1!$B$2:$B$8</c:f>
              <c:numCache>
                <c:formatCode>General</c:formatCode>
                <c:ptCount val="7"/>
                <c:pt idx="0">
                  <c:v>312.60000000000002</c:v>
                </c:pt>
                <c:pt idx="1">
                  <c:v>41.1</c:v>
                </c:pt>
                <c:pt idx="2" formatCode="0.0">
                  <c:v>5996</c:v>
                </c:pt>
                <c:pt idx="3" formatCode="0.0">
                  <c:v>163.6</c:v>
                </c:pt>
                <c:pt idx="4">
                  <c:v>280.2</c:v>
                </c:pt>
                <c:pt idx="5">
                  <c:v>1664.7</c:v>
                </c:pt>
                <c:pt idx="6" formatCode="0.0">
                  <c:v>81.5</c:v>
                </c:pt>
              </c:numCache>
            </c:numRef>
          </c:val>
        </c:ser>
        <c:dLbls>
          <c:showLegendKey val="0"/>
          <c:showVal val="0"/>
          <c:showCatName val="0"/>
          <c:showSerName val="0"/>
          <c:showPercent val="0"/>
          <c:showBubbleSize val="0"/>
          <c:showLeaderLines val="1"/>
        </c:dLbls>
      </c:pie3DChart>
      <c:spPr>
        <a:noFill/>
        <a:ln>
          <a:noFill/>
        </a:ln>
      </c:spPr>
    </c:plotArea>
    <c:legend>
      <c:legendPos val="b"/>
      <c:legendEntry>
        <c:idx val="2"/>
        <c:txPr>
          <a:bodyPr/>
          <a:lstStyle/>
          <a:p>
            <a:pPr>
              <a:defRPr sz="1100" kern="1200" baseline="0">
                <a:latin typeface="Times New Roman" pitchFamily="18" charset="0"/>
              </a:defRPr>
            </a:pPr>
            <a:endParaRPr lang="ru-RU"/>
          </a:p>
        </c:txPr>
      </c:legendEntry>
      <c:legendEntry>
        <c:idx val="4"/>
        <c:txPr>
          <a:bodyPr/>
          <a:lstStyle/>
          <a:p>
            <a:pPr>
              <a:spcAft>
                <a:spcPts val="1200"/>
              </a:spcAft>
              <a:defRPr sz="1100" kern="1200" baseline="0">
                <a:latin typeface="Times New Roman" pitchFamily="18" charset="0"/>
              </a:defRPr>
            </a:pPr>
            <a:endParaRPr lang="ru-RU"/>
          </a:p>
        </c:txPr>
      </c:legendEntry>
      <c:layout>
        <c:manualLayout>
          <c:xMode val="edge"/>
          <c:yMode val="edge"/>
          <c:x val="1.8475349572531503E-2"/>
          <c:y val="0.66252633640595437"/>
          <c:w val="0.97935327380452708"/>
          <c:h val="0.31414714987549636"/>
        </c:manualLayout>
      </c:layout>
      <c:overlay val="0"/>
      <c:spPr>
        <a:noFill/>
        <a:ln>
          <a:noFill/>
        </a:ln>
      </c:spPr>
      <c:txPr>
        <a:bodyPr/>
        <a:lstStyle/>
        <a:p>
          <a:pPr>
            <a:defRPr sz="1100" kern="1200" baseline="0">
              <a:latin typeface="Times New Roman" pitchFamily="18" charset="0"/>
            </a:defRPr>
          </a:pPr>
          <a:endParaRPr lang="ru-RU"/>
        </a:p>
      </c:txPr>
    </c:legend>
    <c:plotVisOnly val="1"/>
    <c:dispBlanksAs val="gap"/>
    <c:showDLblsOverMax val="0"/>
  </c:chart>
  <c:spPr>
    <a:noFill/>
    <a:ln>
      <a:noFill/>
    </a:ln>
    <a:effectLst>
      <a:glow rad="101600">
        <a:schemeClr val="accent3">
          <a:satMod val="175000"/>
          <a:alpha val="40000"/>
        </a:schemeClr>
      </a:glow>
    </a:effectLst>
    <a:scene3d>
      <a:camera prst="orthographicFront"/>
      <a:lightRig rig="threePt" dir="t"/>
    </a:scene3d>
    <a:sp3d>
      <a:bevelT/>
    </a:sp3d>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916552958702124E-2"/>
          <c:y val="3.5567673443804591E-2"/>
          <c:w val="0.91525423728814126"/>
          <c:h val="0.76993865030675368"/>
        </c:manualLayout>
      </c:layout>
      <c:area3DChart>
        <c:grouping val="stacked"/>
        <c:varyColors val="0"/>
        <c:ser>
          <c:idx val="0"/>
          <c:order val="0"/>
          <c:tx>
            <c:strRef>
              <c:f>Sheet1!$A$2</c:f>
              <c:strCache>
                <c:ptCount val="1"/>
                <c:pt idx="0">
                  <c:v>Бюджетные кредиты</c:v>
                </c:pt>
              </c:strCache>
            </c:strRef>
          </c:tx>
          <c:spPr>
            <a:solidFill>
              <a:srgbClr val="C0504D">
                <a:lumMod val="60000"/>
                <a:lumOff val="40000"/>
              </a:srgbClr>
            </a:solidFill>
            <a:ln w="12662">
              <a:solidFill>
                <a:srgbClr val="000000"/>
              </a:solidFill>
              <a:prstDash val="solid"/>
            </a:ln>
          </c:spPr>
          <c:dLbls>
            <c:dLbl>
              <c:idx val="0"/>
              <c:layout>
                <c:manualLayout>
                  <c:x val="3.8844672669653725E-2"/>
                  <c:y val="2.3871364325920318E-2"/>
                </c:manualLayout>
              </c:layout>
              <c:showLegendKey val="0"/>
              <c:showVal val="1"/>
              <c:showCatName val="0"/>
              <c:showSerName val="0"/>
              <c:showPercent val="0"/>
              <c:showBubbleSize val="0"/>
            </c:dLbl>
            <c:dLbl>
              <c:idx val="1"/>
              <c:layout>
                <c:manualLayout>
                  <c:x val="3.8660322887436398E-3"/>
                  <c:y val="7.931639270198956E-3"/>
                </c:manualLayout>
              </c:layout>
              <c:showLegendKey val="0"/>
              <c:showVal val="1"/>
              <c:showCatName val="0"/>
              <c:showSerName val="0"/>
              <c:showPercent val="0"/>
              <c:showBubbleSize val="0"/>
            </c:dLbl>
            <c:dLbl>
              <c:idx val="2"/>
              <c:layout>
                <c:manualLayout>
                  <c:x val="-9.6554204712624454E-3"/>
                  <c:y val="-1.9902724942304811E-2"/>
                </c:manualLayout>
              </c:layout>
              <c:showLegendKey val="0"/>
              <c:showVal val="1"/>
              <c:showCatName val="0"/>
              <c:showSerName val="0"/>
              <c:showPercent val="0"/>
              <c:showBubbleSize val="0"/>
            </c:dLbl>
            <c:dLbl>
              <c:idx val="3"/>
              <c:layout>
                <c:manualLayout>
                  <c:x val="-3.747533214759049E-3"/>
                  <c:y val="-2.7862875003054729E-2"/>
                </c:manualLayout>
              </c:layout>
              <c:showLegendKey val="0"/>
              <c:showVal val="1"/>
              <c:showCatName val="0"/>
              <c:showSerName val="0"/>
              <c:showPercent val="0"/>
              <c:showBubbleSize val="0"/>
            </c:dLbl>
            <c:dLbl>
              <c:idx val="4"/>
              <c:layout>
                <c:manualLayout>
                  <c:x val="-1.0020416939635832E-2"/>
                  <c:y val="-4.7761213669890161E-2"/>
                </c:manualLayout>
              </c:layout>
              <c:showLegendKey val="0"/>
              <c:showVal val="1"/>
              <c:showCatName val="0"/>
              <c:showSerName val="0"/>
              <c:showPercent val="0"/>
              <c:showBubbleSize val="0"/>
            </c:dLbl>
            <c:dLbl>
              <c:idx val="5"/>
              <c:layout>
                <c:manualLayout>
                  <c:x val="-1.4315042346513511E-2"/>
                  <c:y val="-0.11145431976073494"/>
                </c:manualLayout>
              </c:layout>
              <c:tx>
                <c:rich>
                  <a:bodyPr/>
                  <a:lstStyle/>
                  <a:p>
                    <a:r>
                      <a:rPr lang="ru-RU"/>
                      <a:t>18606,7</a:t>
                    </a:r>
                    <a:endParaRPr lang="en-US"/>
                  </a:p>
                </c:rich>
              </c:tx>
              <c:showLegendKey val="0"/>
              <c:showVal val="1"/>
              <c:showCatName val="0"/>
              <c:showSerName val="0"/>
              <c:showPercent val="0"/>
              <c:showBubbleSize val="0"/>
            </c:dLbl>
            <c:spPr>
              <a:solidFill>
                <a:srgbClr val="FFFFCC"/>
              </a:solidFill>
              <a:ln>
                <a:solidFill>
                  <a:schemeClr val="tx1"/>
                </a:solidFill>
              </a:ln>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5090.2</c:v>
                </c:pt>
                <c:pt idx="1">
                  <c:v>9133.2000000000007</c:v>
                </c:pt>
                <c:pt idx="2">
                  <c:v>10493</c:v>
                </c:pt>
                <c:pt idx="3">
                  <c:v>10574.2</c:v>
                </c:pt>
                <c:pt idx="4">
                  <c:v>20024.8</c:v>
                </c:pt>
                <c:pt idx="5">
                  <c:v>18606.7</c:v>
                </c:pt>
              </c:numCache>
            </c:numRef>
          </c:val>
        </c:ser>
        <c:ser>
          <c:idx val="1"/>
          <c:order val="1"/>
          <c:tx>
            <c:strRef>
              <c:f>Sheet1!$A$3</c:f>
              <c:strCache>
                <c:ptCount val="1"/>
                <c:pt idx="0">
                  <c:v>Государственные гарантии</c:v>
                </c:pt>
              </c:strCache>
            </c:strRef>
          </c:tx>
          <c:spPr>
            <a:solidFill>
              <a:srgbClr val="FF0000"/>
            </a:solidFill>
            <a:ln w="12662">
              <a:solidFill>
                <a:srgbClr val="000000"/>
              </a:solidFill>
              <a:prstDash val="solid"/>
            </a:ln>
          </c:spPr>
          <c:dLbls>
            <c:dLbl>
              <c:idx val="0"/>
              <c:layout>
                <c:manualLayout>
                  <c:x val="4.4210297859336771E-2"/>
                  <c:y val="-5.1743638490695146E-2"/>
                </c:manualLayout>
              </c:layout>
              <c:showLegendKey val="0"/>
              <c:showVal val="1"/>
              <c:showCatName val="0"/>
              <c:showSerName val="0"/>
              <c:showPercent val="0"/>
              <c:showBubbleSize val="0"/>
            </c:dLbl>
            <c:dLbl>
              <c:idx val="1"/>
              <c:layout>
                <c:manualLayout>
                  <c:x val="9.2267684330869688E-3"/>
                  <c:y val="-3.5820895522388062E-2"/>
                </c:manualLayout>
              </c:layout>
              <c:showLegendKey val="0"/>
              <c:showVal val="1"/>
              <c:showCatName val="0"/>
              <c:showSerName val="0"/>
              <c:showPercent val="0"/>
              <c:showBubbleSize val="0"/>
            </c:dLbl>
            <c:dLbl>
              <c:idx val="2"/>
              <c:layout>
                <c:manualLayout>
                  <c:x val="-1.1019757499637699E-2"/>
                  <c:y val="-1.9900497512437811E-2"/>
                </c:manualLayout>
              </c:layout>
              <c:showLegendKey val="0"/>
              <c:showVal val="1"/>
              <c:showCatName val="0"/>
              <c:showSerName val="0"/>
              <c:showPercent val="0"/>
              <c:showBubbleSize val="0"/>
            </c:dLbl>
            <c:dLbl>
              <c:idx val="3"/>
              <c:layout>
                <c:manualLayout>
                  <c:x val="-6.8346623603687106E-3"/>
                  <c:y val="-1.9901124299761076E-2"/>
                </c:manualLayout>
              </c:layout>
              <c:showLegendKey val="0"/>
              <c:showVal val="1"/>
              <c:showCatName val="0"/>
              <c:showSerName val="0"/>
              <c:showPercent val="0"/>
              <c:showBubbleSize val="0"/>
            </c:dLbl>
            <c:dLbl>
              <c:idx val="4"/>
              <c:layout>
                <c:manualLayout>
                  <c:x val="-3.6002626944145556E-2"/>
                  <c:y val="-1.5919673510718491E-2"/>
                </c:manualLayout>
              </c:layout>
              <c:showLegendKey val="0"/>
              <c:showVal val="1"/>
              <c:showCatName val="0"/>
              <c:showSerName val="0"/>
              <c:showPercent val="0"/>
              <c:showBubbleSize val="0"/>
            </c:dLbl>
            <c:dLbl>
              <c:idx val="5"/>
              <c:layout>
                <c:manualLayout>
                  <c:x val="-2.8605612058182402E-2"/>
                  <c:y val="-2.7854102452115972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633.29999999999995</c:v>
                </c:pt>
                <c:pt idx="1">
                  <c:v>320.89999999999998</c:v>
                </c:pt>
                <c:pt idx="2">
                  <c:v>207</c:v>
                </c:pt>
                <c:pt idx="3">
                  <c:v>142</c:v>
                </c:pt>
                <c:pt idx="4">
                  <c:v>59.5</c:v>
                </c:pt>
                <c:pt idx="5">
                  <c:v>0</c:v>
                </c:pt>
              </c:numCache>
            </c:numRef>
          </c:val>
        </c:ser>
        <c:ser>
          <c:idx val="2"/>
          <c:order val="2"/>
          <c:tx>
            <c:strRef>
              <c:f>Sheet1!$A$4</c:f>
              <c:strCache>
                <c:ptCount val="1"/>
                <c:pt idx="0">
                  <c:v>Кредиты коммерческих банков</c:v>
                </c:pt>
              </c:strCache>
            </c:strRef>
          </c:tx>
          <c:spPr>
            <a:solidFill>
              <a:srgbClr val="8064A2">
                <a:lumMod val="60000"/>
                <a:lumOff val="40000"/>
              </a:srgbClr>
            </a:solidFill>
            <a:ln w="12662">
              <a:solidFill>
                <a:srgbClr val="000000"/>
              </a:solidFill>
              <a:prstDash val="solid"/>
            </a:ln>
          </c:spPr>
          <c:dLbls>
            <c:dLbl>
              <c:idx val="0"/>
              <c:layout>
                <c:manualLayout>
                  <c:x val="3.791793262909033E-2"/>
                  <c:y val="-0.17112865760545704"/>
                </c:manualLayout>
              </c:layout>
              <c:showLegendKey val="0"/>
              <c:showVal val="1"/>
              <c:showCatName val="0"/>
              <c:showSerName val="0"/>
              <c:showPercent val="0"/>
              <c:showBubbleSize val="0"/>
            </c:dLbl>
            <c:dLbl>
              <c:idx val="1"/>
              <c:layout>
                <c:manualLayout>
                  <c:x val="-2.8405000854127158E-2"/>
                  <c:y val="-0.15521713003489596"/>
                </c:manualLayout>
              </c:layout>
              <c:showLegendKey val="0"/>
              <c:showVal val="1"/>
              <c:showCatName val="0"/>
              <c:showSerName val="0"/>
              <c:showPercent val="0"/>
              <c:showBubbleSize val="0"/>
            </c:dLbl>
            <c:dLbl>
              <c:idx val="2"/>
              <c:layout>
                <c:manualLayout>
                  <c:x val="-4.068317936235584E-2"/>
                  <c:y val="-0.1910442280687793"/>
                </c:manualLayout>
              </c:layout>
              <c:showLegendKey val="0"/>
              <c:showVal val="1"/>
              <c:showCatName val="0"/>
              <c:showSerName val="0"/>
              <c:showPercent val="0"/>
              <c:showBubbleSize val="0"/>
            </c:dLbl>
            <c:dLbl>
              <c:idx val="3"/>
              <c:layout>
                <c:manualLayout>
                  <c:x val="-3.7653402766921175E-2"/>
                  <c:y val="-0.22288890128185768"/>
                </c:manualLayout>
              </c:layout>
              <c:showLegendKey val="0"/>
              <c:showVal val="1"/>
              <c:showCatName val="0"/>
              <c:showSerName val="0"/>
              <c:showPercent val="0"/>
              <c:showBubbleSize val="0"/>
            </c:dLbl>
            <c:dLbl>
              <c:idx val="4"/>
              <c:layout>
                <c:manualLayout>
                  <c:x val="-3.8119992870735059E-2"/>
                  <c:y val="-0.13534730215861149"/>
                </c:manualLayout>
              </c:layout>
              <c:tx>
                <c:rich>
                  <a:bodyPr/>
                  <a:lstStyle/>
                  <a:p>
                    <a:r>
                      <a:rPr lang="en-US"/>
                      <a:t>105</a:t>
                    </a:r>
                    <a:r>
                      <a:rPr lang="en-US" b="0"/>
                      <a:t>1</a:t>
                    </a:r>
                    <a:r>
                      <a:rPr lang="en-US"/>
                      <a:t>8,4</a:t>
                    </a:r>
                  </a:p>
                </c:rich>
              </c:tx>
              <c:showLegendKey val="0"/>
              <c:showVal val="1"/>
              <c:showCatName val="0"/>
              <c:showSerName val="0"/>
              <c:showPercent val="0"/>
              <c:showBubbleSize val="0"/>
            </c:dLbl>
            <c:dLbl>
              <c:idx val="5"/>
              <c:layout>
                <c:manualLayout>
                  <c:x val="-3.0574210125584866E-2"/>
                  <c:y val="-0.12738495896012689"/>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Sheet1!$B$4:$G$4</c:f>
              <c:numCache>
                <c:formatCode>General</c:formatCode>
                <c:ptCount val="6"/>
                <c:pt idx="0">
                  <c:v>9334.9</c:v>
                </c:pt>
                <c:pt idx="1">
                  <c:v>13361.8</c:v>
                </c:pt>
                <c:pt idx="2">
                  <c:v>17527.8</c:v>
                </c:pt>
                <c:pt idx="3">
                  <c:v>19768.8</c:v>
                </c:pt>
                <c:pt idx="4">
                  <c:v>10518.4</c:v>
                </c:pt>
                <c:pt idx="5">
                  <c:v>9059.1</c:v>
                </c:pt>
              </c:numCache>
            </c:numRef>
          </c:val>
        </c:ser>
        <c:dLbls>
          <c:showLegendKey val="0"/>
          <c:showVal val="0"/>
          <c:showCatName val="0"/>
          <c:showSerName val="0"/>
          <c:showPercent val="0"/>
          <c:showBubbleSize val="0"/>
        </c:dLbls>
        <c:gapDepth val="0"/>
        <c:axId val="122396672"/>
        <c:axId val="122398208"/>
        <c:axId val="0"/>
      </c:area3DChart>
      <c:catAx>
        <c:axId val="122396672"/>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22398208"/>
        <c:crosses val="autoZero"/>
        <c:auto val="1"/>
        <c:lblAlgn val="ctr"/>
        <c:lblOffset val="100"/>
        <c:tickLblSkip val="1"/>
        <c:tickMarkSkip val="1"/>
        <c:noMultiLvlLbl val="0"/>
      </c:catAx>
      <c:valAx>
        <c:axId val="122398208"/>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22396672"/>
        <c:crosses val="autoZero"/>
        <c:crossBetween val="midCat"/>
      </c:valAx>
      <c:spPr>
        <a:noFill/>
        <a:ln w="25324">
          <a:noFill/>
        </a:ln>
      </c:spPr>
    </c:plotArea>
    <c:legend>
      <c:legendPos val="b"/>
      <c:layout>
        <c:manualLayout>
          <c:xMode val="edge"/>
          <c:yMode val="edge"/>
          <c:x val="2.0338983050847428E-2"/>
          <c:y val="0.91104294478527559"/>
          <c:w val="0.95932203389830562"/>
          <c:h val="7.9754601226994598E-2"/>
        </c:manualLayout>
      </c:layout>
      <c:overlay val="0"/>
      <c:spPr>
        <a:noFill/>
        <a:ln w="3166">
          <a:noFill/>
          <a:prstDash val="solid"/>
        </a:ln>
      </c:spPr>
      <c:txPr>
        <a:bodyPr/>
        <a:lstStyle/>
        <a:p>
          <a:pPr>
            <a:defRPr sz="1052"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42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spPr>
        <a:solidFill>
          <a:srgbClr val="FFC000"/>
        </a:solidFill>
        <a:ln>
          <a:solidFill>
            <a:schemeClr val="tx1">
              <a:lumMod val="95000"/>
              <a:lumOff val="5000"/>
            </a:schemeClr>
          </a:solidFill>
        </a:ln>
      </c:spPr>
    </c:floor>
    <c:sideWall>
      <c:thickness val="0"/>
      <c:spPr>
        <a:gradFill flip="none" rotWithShape="1">
          <a:gsLst>
            <a:gs pos="0">
              <a:srgbClr val="F79646">
                <a:lumMod val="20000"/>
                <a:lumOff val="80000"/>
                <a:shade val="30000"/>
                <a:satMod val="115000"/>
              </a:srgbClr>
            </a:gs>
            <a:gs pos="50000">
              <a:srgbClr val="F79646">
                <a:lumMod val="20000"/>
                <a:lumOff val="80000"/>
                <a:shade val="67500"/>
                <a:satMod val="115000"/>
              </a:srgbClr>
            </a:gs>
            <a:gs pos="100000">
              <a:srgbClr val="F79646">
                <a:lumMod val="20000"/>
                <a:lumOff val="80000"/>
                <a:shade val="100000"/>
                <a:satMod val="115000"/>
              </a:srgbClr>
            </a:gs>
          </a:gsLst>
          <a:path path="circle">
            <a:fillToRect l="100000" t="100000"/>
          </a:path>
          <a:tileRect r="-100000" b="-100000"/>
        </a:gradFill>
      </c:spPr>
    </c:sideWall>
    <c:backWall>
      <c:thickness val="0"/>
      <c:spPr>
        <a:solidFill>
          <a:srgbClr val="F79646">
            <a:lumMod val="20000"/>
            <a:lumOff val="80000"/>
          </a:srgbClr>
        </a:solidFill>
      </c:spPr>
    </c:backWall>
    <c:plotArea>
      <c:layout>
        <c:manualLayout>
          <c:layoutTarget val="inner"/>
          <c:xMode val="edge"/>
          <c:yMode val="edge"/>
          <c:x val="0"/>
          <c:y val="4.3650793650793648E-2"/>
          <c:w val="0.91825457019273637"/>
          <c:h val="0.75633264591926008"/>
        </c:manualLayout>
      </c:layout>
      <c:bar3DChart>
        <c:barDir val="col"/>
        <c:grouping val="clustered"/>
        <c:varyColors val="0"/>
        <c:ser>
          <c:idx val="0"/>
          <c:order val="0"/>
          <c:tx>
            <c:strRef>
              <c:f>Лист1!$B$1</c:f>
              <c:strCache>
                <c:ptCount val="1"/>
                <c:pt idx="0">
                  <c:v>Государственный долг </c:v>
                </c:pt>
              </c:strCache>
            </c:strRef>
          </c:tx>
          <c:spPr>
            <a:gradFill flip="none" rotWithShape="1">
              <a:gsLst>
                <a:gs pos="0">
                  <a:srgbClr val="FFF200"/>
                </a:gs>
                <a:gs pos="45000">
                  <a:srgbClr val="FF7A00"/>
                </a:gs>
                <a:gs pos="70000">
                  <a:srgbClr val="FF0300"/>
                </a:gs>
                <a:gs pos="100000">
                  <a:srgbClr val="4D0808"/>
                </a:gs>
              </a:gsLst>
              <a:path path="circle">
                <a:fillToRect l="50000" t="50000" r="50000" b="50000"/>
              </a:path>
              <a:tileRect/>
            </a:gradFill>
            <a:ln w="19073">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1.8058028443586723E-2"/>
                  <c:y val="5.8383045205364862E-3"/>
                </c:manualLayout>
              </c:layout>
              <c:showLegendKey val="0"/>
              <c:showVal val="1"/>
              <c:showCatName val="0"/>
              <c:showSerName val="0"/>
              <c:showPercent val="0"/>
              <c:showBubbleSize val="0"/>
            </c:dLbl>
            <c:dLbl>
              <c:idx val="1"/>
              <c:layout>
                <c:manualLayout>
                  <c:x val="-2.414420592449272E-2"/>
                  <c:y val="1.0393920425218814E-2"/>
                </c:manualLayout>
              </c:layout>
              <c:showLegendKey val="0"/>
              <c:showVal val="1"/>
              <c:showCatName val="0"/>
              <c:showSerName val="0"/>
              <c:showPercent val="0"/>
              <c:showBubbleSize val="0"/>
            </c:dLbl>
            <c:dLbl>
              <c:idx val="2"/>
              <c:layout>
                <c:manualLayout>
                  <c:x val="-2.1026800255683698E-2"/>
                  <c:y val="6.1199447521453988E-2"/>
                </c:manualLayout>
              </c:layout>
              <c:showLegendKey val="0"/>
              <c:showVal val="1"/>
              <c:showCatName val="0"/>
              <c:showSerName val="0"/>
              <c:showPercent val="0"/>
              <c:showBubbleSize val="0"/>
            </c:dLbl>
            <c:dLbl>
              <c:idx val="3"/>
              <c:layout>
                <c:manualLayout>
                  <c:x val="-3.2454849214376739E-2"/>
                  <c:y val="1.3442459043279462E-2"/>
                </c:manualLayout>
              </c:layout>
              <c:showLegendKey val="0"/>
              <c:showVal val="1"/>
              <c:showCatName val="0"/>
              <c:showSerName val="0"/>
              <c:showPercent val="0"/>
              <c:showBubbleSize val="0"/>
            </c:dLbl>
            <c:dLbl>
              <c:idx val="4"/>
              <c:layout>
                <c:manualLayout>
                  <c:x val="-2.1461570802872035E-2"/>
                  <c:y val="1.0802666403101286E-2"/>
                </c:manualLayout>
              </c:layout>
              <c:showLegendKey val="0"/>
              <c:showVal val="1"/>
              <c:showCatName val="0"/>
              <c:showSerName val="0"/>
              <c:showPercent val="0"/>
              <c:showBubbleSize val="0"/>
            </c:dLbl>
            <c:dLbl>
              <c:idx val="5"/>
              <c:layout>
                <c:manualLayout>
                  <c:x val="-2.8632328966628054E-2"/>
                  <c:y val="9.5291791179619861E-3"/>
                </c:manualLayout>
              </c:layout>
              <c:showLegendKey val="0"/>
              <c:showVal val="1"/>
              <c:showCatName val="0"/>
              <c:showSerName val="0"/>
              <c:showPercent val="0"/>
              <c:showBubbleSize val="0"/>
            </c:dLbl>
            <c:dLbl>
              <c:idx val="6"/>
              <c:layout>
                <c:manualLayout>
                  <c:x val="-9.2592637252655822E-3"/>
                  <c:y val="-3.3591245779743907E-4"/>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2012 год </c:v>
                </c:pt>
                <c:pt idx="1">
                  <c:v>2013 год </c:v>
                </c:pt>
                <c:pt idx="2">
                  <c:v>2014 год</c:v>
                </c:pt>
                <c:pt idx="3">
                  <c:v>2015 год</c:v>
                </c:pt>
                <c:pt idx="4">
                  <c:v>2016 год</c:v>
                </c:pt>
                <c:pt idx="5">
                  <c:v>2017 год</c:v>
                </c:pt>
              </c:strCache>
            </c:strRef>
          </c:cat>
          <c:val>
            <c:numRef>
              <c:f>Лист1!$B$2:$B$7</c:f>
              <c:numCache>
                <c:formatCode>General</c:formatCode>
                <c:ptCount val="6"/>
                <c:pt idx="0">
                  <c:v>15058.4</c:v>
                </c:pt>
                <c:pt idx="1">
                  <c:v>22815.8</c:v>
                </c:pt>
                <c:pt idx="2">
                  <c:v>28227.8</c:v>
                </c:pt>
                <c:pt idx="3">
                  <c:v>30484.9</c:v>
                </c:pt>
                <c:pt idx="4" formatCode="0.0">
                  <c:v>30602.7</c:v>
                </c:pt>
                <c:pt idx="5" formatCode="0.0">
                  <c:v>27665.8</c:v>
                </c:pt>
              </c:numCache>
            </c:numRef>
          </c:val>
        </c:ser>
        <c:ser>
          <c:idx val="1"/>
          <c:order val="1"/>
          <c:tx>
            <c:strRef>
              <c:f>Лист1!$C$1</c:f>
              <c:strCache>
                <c:ptCount val="1"/>
                <c:pt idx="0">
                  <c:v>Объем доходов областного бюджета без учета объема безвозмездных поступлений</c:v>
                </c:pt>
              </c:strCache>
            </c:strRef>
          </c:tx>
          <c:spPr>
            <a:gradFill flip="none" rotWithShape="1">
              <a:gsLst>
                <a:gs pos="0">
                  <a:srgbClr val="DDEBCF"/>
                </a:gs>
                <a:gs pos="4169">
                  <a:srgbClr val="D3E3C0"/>
                </a:gs>
                <a:gs pos="12906">
                  <a:srgbClr val="BED3A1"/>
                </a:gs>
                <a:gs pos="27000">
                  <a:srgbClr val="9CB86E"/>
                </a:gs>
                <a:gs pos="81000">
                  <a:srgbClr val="156B13"/>
                </a:gs>
              </a:gsLst>
              <a:path path="circle">
                <a:fillToRect l="50000" t="50000" r="50000" b="50000"/>
              </a:path>
              <a:tileRect/>
            </a:gradFill>
            <a:ln w="15875">
              <a:solidFill>
                <a:sysClr val="windowText" lastClr="000000"/>
              </a:solidFill>
            </a:ln>
          </c:spPr>
          <c:invertIfNegative val="0"/>
          <c:dLbls>
            <c:dLbl>
              <c:idx val="0"/>
              <c:layout>
                <c:manualLayout>
                  <c:x val="-3.9395371733236678E-2"/>
                  <c:y val="8.2628080110706478E-3"/>
                </c:manualLayout>
              </c:layout>
              <c:showLegendKey val="0"/>
              <c:showVal val="1"/>
              <c:showCatName val="0"/>
              <c:showSerName val="0"/>
              <c:showPercent val="0"/>
              <c:showBubbleSize val="0"/>
            </c:dLbl>
            <c:dLbl>
              <c:idx val="1"/>
              <c:layout>
                <c:manualLayout>
                  <c:x val="-1.2345983075103507E-3"/>
                  <c:y val="1.6276187742417195E-2"/>
                </c:manualLayout>
              </c:layout>
              <c:showLegendKey val="0"/>
              <c:showVal val="1"/>
              <c:showCatName val="0"/>
              <c:showSerName val="0"/>
              <c:showPercent val="0"/>
              <c:showBubbleSize val="0"/>
            </c:dLbl>
            <c:dLbl>
              <c:idx val="2"/>
              <c:layout>
                <c:manualLayout>
                  <c:x val="3.3060097914120644E-2"/>
                  <c:y val="5.8698101123948271E-2"/>
                </c:manualLayout>
              </c:layout>
              <c:showLegendKey val="0"/>
              <c:showVal val="1"/>
              <c:showCatName val="0"/>
              <c:showSerName val="0"/>
              <c:showPercent val="0"/>
              <c:showBubbleSize val="0"/>
            </c:dLbl>
            <c:dLbl>
              <c:idx val="3"/>
              <c:layout>
                <c:manualLayout>
                  <c:x val="2.2128232068058234E-3"/>
                  <c:y val="7.599324397161906E-3"/>
                </c:manualLayout>
              </c:layout>
              <c:showLegendKey val="0"/>
              <c:showVal val="1"/>
              <c:showCatName val="0"/>
              <c:showSerName val="0"/>
              <c:showPercent val="0"/>
              <c:showBubbleSize val="0"/>
            </c:dLbl>
            <c:dLbl>
              <c:idx val="4"/>
              <c:layout>
                <c:manualLayout>
                  <c:x val="-2.6689557378213494E-2"/>
                  <c:y val="1.0799282594620527E-2"/>
                </c:manualLayout>
              </c:layout>
              <c:showLegendKey val="0"/>
              <c:showVal val="1"/>
              <c:showCatName val="0"/>
              <c:showSerName val="0"/>
              <c:showPercent val="0"/>
              <c:showBubbleSize val="0"/>
            </c:dLbl>
            <c:dLbl>
              <c:idx val="5"/>
              <c:layout>
                <c:manualLayout>
                  <c:x val="-6.6525109983991193E-2"/>
                  <c:y val="4.7073745259615968E-2"/>
                </c:manualLayout>
              </c:layout>
              <c:showLegendKey val="0"/>
              <c:showVal val="1"/>
              <c:showCatName val="0"/>
              <c:showSerName val="0"/>
              <c:showPercent val="0"/>
              <c:showBubbleSize val="0"/>
            </c:dLbl>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2012 год </c:v>
                </c:pt>
                <c:pt idx="1">
                  <c:v>2013 год </c:v>
                </c:pt>
                <c:pt idx="2">
                  <c:v>2014 год</c:v>
                </c:pt>
                <c:pt idx="3">
                  <c:v>2015 год</c:v>
                </c:pt>
                <c:pt idx="4">
                  <c:v>2016 год</c:v>
                </c:pt>
                <c:pt idx="5">
                  <c:v>2017 год</c:v>
                </c:pt>
              </c:strCache>
            </c:strRef>
          </c:cat>
          <c:val>
            <c:numRef>
              <c:f>Лист1!$C$2:$C$7</c:f>
              <c:numCache>
                <c:formatCode>General</c:formatCode>
                <c:ptCount val="6"/>
                <c:pt idx="0">
                  <c:v>26464.400000000001</c:v>
                </c:pt>
                <c:pt idx="1">
                  <c:v>26541</c:v>
                </c:pt>
                <c:pt idx="2">
                  <c:v>28781.3</c:v>
                </c:pt>
                <c:pt idx="3">
                  <c:v>31969.599999999999</c:v>
                </c:pt>
                <c:pt idx="4">
                  <c:v>35267.699999999997</c:v>
                </c:pt>
                <c:pt idx="5">
                  <c:v>38174.300000000003</c:v>
                </c:pt>
              </c:numCache>
            </c:numRef>
          </c:val>
        </c:ser>
        <c:ser>
          <c:idx val="2"/>
          <c:order val="2"/>
          <c:tx>
            <c:strRef>
              <c:f>Лист1!$D$1</c:f>
              <c:strCache>
                <c:ptCount val="1"/>
                <c:pt idx="0">
                  <c:v>Ряд 3</c:v>
                </c:pt>
              </c:strCache>
            </c:strRef>
          </c:tx>
          <c:invertIfNegative val="0"/>
          <c:cat>
            <c:strRef>
              <c:f>Лист1!$A$2:$A$7</c:f>
              <c:strCache>
                <c:ptCount val="6"/>
                <c:pt idx="0">
                  <c:v>2012 год </c:v>
                </c:pt>
                <c:pt idx="1">
                  <c:v>2013 год </c:v>
                </c:pt>
                <c:pt idx="2">
                  <c:v>2014 год</c:v>
                </c:pt>
                <c:pt idx="3">
                  <c:v>2015 год</c:v>
                </c:pt>
                <c:pt idx="4">
                  <c:v>2016 год</c:v>
                </c:pt>
                <c:pt idx="5">
                  <c:v>2017 год</c:v>
                </c:pt>
              </c:strCache>
            </c:strRef>
          </c:cat>
          <c:val>
            <c:numRef>
              <c:f>Лист1!$D$2:$D$7</c:f>
            </c:numRef>
          </c:val>
          <c:shape val="cylinder"/>
        </c:ser>
        <c:dLbls>
          <c:showLegendKey val="0"/>
          <c:showVal val="0"/>
          <c:showCatName val="0"/>
          <c:showSerName val="0"/>
          <c:showPercent val="0"/>
          <c:showBubbleSize val="0"/>
        </c:dLbls>
        <c:gapWidth val="150"/>
        <c:shape val="box"/>
        <c:axId val="122490880"/>
        <c:axId val="122492416"/>
        <c:axId val="0"/>
      </c:bar3DChart>
      <c:catAx>
        <c:axId val="122490880"/>
        <c:scaling>
          <c:orientation val="minMax"/>
        </c:scaling>
        <c:delete val="0"/>
        <c:axPos val="b"/>
        <c:numFmt formatCode="General" sourceLinked="1"/>
        <c:majorTickMark val="out"/>
        <c:minorTickMark val="none"/>
        <c:tickLblPos val="nextTo"/>
        <c:spPr>
          <a:ln>
            <a:solidFill>
              <a:srgbClr val="0070C0"/>
            </a:solidFill>
          </a:ln>
        </c:spPr>
        <c:txPr>
          <a:bodyPr/>
          <a:lstStyle/>
          <a:p>
            <a:pPr>
              <a:defRPr b="1" baseline="0">
                <a:latin typeface="Times New Roman" pitchFamily="18" charset="0"/>
              </a:defRPr>
            </a:pPr>
            <a:endParaRPr lang="ru-RU"/>
          </a:p>
        </c:txPr>
        <c:crossAx val="122492416"/>
        <c:crosses val="autoZero"/>
        <c:auto val="1"/>
        <c:lblAlgn val="ctr"/>
        <c:lblOffset val="100"/>
        <c:noMultiLvlLbl val="0"/>
      </c:catAx>
      <c:valAx>
        <c:axId val="122492416"/>
        <c:scaling>
          <c:orientation val="minMax"/>
        </c:scaling>
        <c:delete val="0"/>
        <c:axPos val="r"/>
        <c:majorGridlines>
          <c:spPr>
            <a:ln>
              <a:solidFill>
                <a:srgbClr val="002060"/>
              </a:solidFill>
            </a:ln>
          </c:spPr>
        </c:majorGridlines>
        <c:numFmt formatCode="General" sourceLinked="1"/>
        <c:majorTickMark val="out"/>
        <c:minorTickMark val="none"/>
        <c:tickLblPos val="nextTo"/>
        <c:txPr>
          <a:bodyPr/>
          <a:lstStyle/>
          <a:p>
            <a:pPr>
              <a:defRPr b="1" baseline="0">
                <a:latin typeface="Times New Roman" pitchFamily="18" charset="0"/>
              </a:defRPr>
            </a:pPr>
            <a:endParaRPr lang="ru-RU"/>
          </a:p>
        </c:txPr>
        <c:crossAx val="122490880"/>
        <c:crosses val="max"/>
        <c:crossBetween val="between"/>
      </c:valAx>
      <c:spPr>
        <a:noFill/>
        <a:ln w="25431">
          <a:noFill/>
        </a:ln>
      </c:spPr>
    </c:plotArea>
    <c:legend>
      <c:legendPos val="b"/>
      <c:overlay val="0"/>
      <c:txPr>
        <a:bodyPr/>
        <a:lstStyle/>
        <a:p>
          <a:pPr>
            <a:defRPr sz="1001" b="1"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504D">
            <a:lumMod val="20000"/>
            <a:lumOff val="80000"/>
          </a:srgbClr>
        </a:solidFill>
        <a:ln w="3175">
          <a:solidFill>
            <a:srgbClr val="000000"/>
          </a:solidFill>
          <a:prstDash val="solid"/>
        </a:ln>
      </c:spPr>
    </c:floor>
    <c:sideWall>
      <c:thickness val="0"/>
      <c:spPr>
        <a:gradFill flip="none" rotWithShape="1">
          <a:gsLst>
            <a:gs pos="0">
              <a:srgbClr val="FFEFD1"/>
            </a:gs>
            <a:gs pos="64999">
              <a:srgbClr val="F0EBD5"/>
            </a:gs>
            <a:gs pos="100000">
              <a:srgbClr val="D1C39F"/>
            </a:gs>
          </a:gsLst>
          <a:lin ang="2700000" scaled="1"/>
          <a:tileRect/>
        </a:gradFill>
        <a:ln w="12700">
          <a:solidFill>
            <a:srgbClr val="808080"/>
          </a:solidFill>
          <a:prstDash val="solid"/>
        </a:ln>
      </c:spPr>
    </c:sideWall>
    <c:backWall>
      <c:thickness val="0"/>
      <c:spPr>
        <a:gradFill flip="none" rotWithShape="1">
          <a:gsLst>
            <a:gs pos="0">
              <a:srgbClr val="FFEFD1"/>
            </a:gs>
            <a:gs pos="64999">
              <a:srgbClr val="F0EBD5"/>
            </a:gs>
            <a:gs pos="100000">
              <a:srgbClr val="D1C39F"/>
            </a:gs>
          </a:gsLst>
          <a:lin ang="2700000" scaled="1"/>
          <a:tileRect/>
        </a:gradFill>
        <a:ln w="12700">
          <a:solidFill>
            <a:srgbClr val="808080"/>
          </a:solidFill>
          <a:prstDash val="solid"/>
        </a:ln>
      </c:spPr>
    </c:backWall>
    <c:plotArea>
      <c:layout>
        <c:manualLayout>
          <c:layoutTarget val="inner"/>
          <c:xMode val="edge"/>
          <c:yMode val="edge"/>
          <c:x val="5.2017639760708535E-2"/>
          <c:y val="3.5856573705179452E-2"/>
          <c:w val="0.9479823602392915"/>
          <c:h val="0.79753962333655659"/>
        </c:manualLayout>
      </c:layout>
      <c:bar3DChart>
        <c:barDir val="col"/>
        <c:grouping val="stacked"/>
        <c:varyColors val="0"/>
        <c:ser>
          <c:idx val="0"/>
          <c:order val="0"/>
          <c:tx>
            <c:strRef>
              <c:f>Sheet1!$A$2</c:f>
              <c:strCache>
                <c:ptCount val="1"/>
                <c:pt idx="0">
                  <c:v>Кредиты коммерческих банков</c:v>
                </c:pt>
              </c:strCache>
            </c:strRef>
          </c:tx>
          <c:spPr>
            <a:gradFill flip="none" rotWithShape="1">
              <a:gsLst>
                <a:gs pos="0">
                  <a:srgbClr val="F79646">
                    <a:lumMod val="60000"/>
                    <a:lumOff val="40000"/>
                    <a:shade val="30000"/>
                    <a:satMod val="115000"/>
                  </a:srgbClr>
                </a:gs>
                <a:gs pos="50000">
                  <a:srgbClr val="F79646">
                    <a:lumMod val="60000"/>
                    <a:lumOff val="40000"/>
                    <a:shade val="67500"/>
                    <a:satMod val="115000"/>
                  </a:srgbClr>
                </a:gs>
                <a:gs pos="100000">
                  <a:srgbClr val="F79646">
                    <a:lumMod val="60000"/>
                    <a:lumOff val="40000"/>
                    <a:shade val="100000"/>
                    <a:satMod val="115000"/>
                  </a:srgbClr>
                </a:gs>
              </a:gsLst>
              <a:path path="circle">
                <a:fillToRect l="50000" t="50000" r="50000" b="50000"/>
              </a:path>
              <a:tileRect/>
            </a:gradFill>
            <a:ln w="12700">
              <a:solidFill>
                <a:srgbClr val="000000"/>
              </a:solidFill>
              <a:prstDash val="solid"/>
            </a:ln>
          </c:spPr>
          <c:invertIfNegative val="0"/>
          <c:dLbls>
            <c:dLbl>
              <c:idx val="0"/>
              <c:layout>
                <c:manualLayout>
                  <c:x val="2.6106909174978574E-2"/>
                  <c:y val="1.6445609480808487E-2"/>
                </c:manualLayout>
              </c:layout>
              <c:showLegendKey val="0"/>
              <c:showVal val="1"/>
              <c:showCatName val="0"/>
              <c:showSerName val="0"/>
              <c:showPercent val="0"/>
              <c:showBubbleSize val="0"/>
            </c:dLbl>
            <c:dLbl>
              <c:idx val="1"/>
              <c:layout>
                <c:manualLayout>
                  <c:x val="6.0550186908454671E-2"/>
                  <c:y val="4.5919489948814216E-2"/>
                </c:manualLayout>
              </c:layout>
              <c:showLegendKey val="0"/>
              <c:showVal val="1"/>
              <c:showCatName val="0"/>
              <c:showSerName val="0"/>
              <c:showPercent val="0"/>
              <c:showBubbleSize val="0"/>
            </c:dLbl>
            <c:dLbl>
              <c:idx val="2"/>
              <c:layout>
                <c:manualLayout>
                  <c:x val="6.9315135608049014E-2"/>
                  <c:y val="3.1180365612193253E-2"/>
                </c:manualLayout>
              </c:layout>
              <c:showLegendKey val="0"/>
              <c:showVal val="1"/>
              <c:showCatName val="0"/>
              <c:showSerName val="0"/>
              <c:showPercent val="0"/>
              <c:showBubbleSize val="0"/>
            </c:dLbl>
            <c:dLbl>
              <c:idx val="3"/>
              <c:layout>
                <c:manualLayout>
                  <c:x val="5.576771653543354E-2"/>
                  <c:y val="3.9933628986031942E-2"/>
                </c:manualLayout>
              </c:layout>
              <c:showLegendKey val="0"/>
              <c:showVal val="1"/>
              <c:showCatName val="0"/>
              <c:showSerName val="0"/>
              <c:showPercent val="0"/>
              <c:showBubbleSize val="0"/>
            </c:dLbl>
            <c:dLbl>
              <c:idx val="4"/>
              <c:layout>
                <c:manualLayout>
                  <c:x val="3.8687807882816609E-2"/>
                  <c:y val="3.542905879724223E-2"/>
                </c:manualLayout>
              </c:layout>
              <c:showLegendKey val="0"/>
              <c:showVal val="1"/>
              <c:showCatName val="0"/>
              <c:showSerName val="0"/>
              <c:showPercent val="0"/>
              <c:showBubbleSize val="0"/>
            </c:dLbl>
            <c:spPr>
              <a:solidFill>
                <a:srgbClr val="4F81BD">
                  <a:lumMod val="40000"/>
                  <a:lumOff val="6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62</c:v>
                </c:pt>
                <c:pt idx="1">
                  <c:v>58.6</c:v>
                </c:pt>
                <c:pt idx="2">
                  <c:v>62.1</c:v>
                </c:pt>
                <c:pt idx="3">
                  <c:v>64.8</c:v>
                </c:pt>
                <c:pt idx="4">
                  <c:v>34.4</c:v>
                </c:pt>
                <c:pt idx="5">
                  <c:v>32.799999999999997</c:v>
                </c:pt>
              </c:numCache>
            </c:numRef>
          </c:val>
        </c:ser>
        <c:ser>
          <c:idx val="1"/>
          <c:order val="1"/>
          <c:tx>
            <c:strRef>
              <c:f>Sheet1!$A$3</c:f>
              <c:strCache>
                <c:ptCount val="1"/>
                <c:pt idx="0">
                  <c:v>Государственные гарантии</c:v>
                </c:pt>
              </c:strCache>
            </c:strRef>
          </c:tx>
          <c:spPr>
            <a:solidFill>
              <a:srgbClr val="7030A0"/>
            </a:solidFill>
            <a:ln w="12700">
              <a:solidFill>
                <a:srgbClr val="000000"/>
              </a:solidFill>
              <a:prstDash val="solid"/>
            </a:ln>
          </c:spPr>
          <c:invertIfNegative val="0"/>
          <c:dLbls>
            <c:dLbl>
              <c:idx val="0"/>
              <c:layout>
                <c:manualLayout>
                  <c:x val="6.967226596675416E-2"/>
                  <c:y val="-1.3384905834139161E-2"/>
                </c:manualLayout>
              </c:layout>
              <c:showLegendKey val="0"/>
              <c:showVal val="1"/>
              <c:showCatName val="0"/>
              <c:showSerName val="0"/>
              <c:showPercent val="0"/>
              <c:showBubbleSize val="0"/>
            </c:dLbl>
            <c:dLbl>
              <c:idx val="1"/>
              <c:layout>
                <c:manualLayout>
                  <c:x val="7.6141207349081363E-2"/>
                  <c:y val="-2.3328820739512784E-2"/>
                </c:manualLayout>
              </c:layout>
              <c:showLegendKey val="0"/>
              <c:showVal val="1"/>
              <c:showCatName val="0"/>
              <c:showSerName val="0"/>
              <c:showPercent val="0"/>
              <c:showBubbleSize val="0"/>
            </c:dLbl>
            <c:dLbl>
              <c:idx val="2"/>
              <c:layout>
                <c:manualLayout>
                  <c:x val="7.4848818897637809E-2"/>
                  <c:y val="-6.6451167288299456E-3"/>
                </c:manualLayout>
              </c:layout>
              <c:showLegendKey val="0"/>
              <c:showVal val="1"/>
              <c:showCatName val="0"/>
              <c:showSerName val="0"/>
              <c:showPercent val="0"/>
              <c:showBubbleSize val="0"/>
            </c:dLbl>
            <c:dLbl>
              <c:idx val="3"/>
              <c:layout>
                <c:manualLayout>
                  <c:x val="7.6427296587926519E-2"/>
                  <c:y val="-2.3047013860109617E-2"/>
                </c:manualLayout>
              </c:layout>
              <c:showLegendKey val="0"/>
              <c:showVal val="1"/>
              <c:showCatName val="0"/>
              <c:showSerName val="0"/>
              <c:showPercent val="0"/>
              <c:showBubbleSize val="0"/>
            </c:dLbl>
            <c:dLbl>
              <c:idx val="4"/>
              <c:layout>
                <c:manualLayout>
                  <c:x val="5.7738208860256122E-2"/>
                  <c:y val="4.879275148078258E-4"/>
                </c:manualLayout>
              </c:layout>
              <c:showLegendKey val="0"/>
              <c:showVal val="1"/>
              <c:showCatName val="0"/>
              <c:showSerName val="0"/>
              <c:showPercent val="0"/>
              <c:showBubbleSize val="0"/>
            </c:dLbl>
            <c:dLbl>
              <c:idx val="5"/>
              <c:layout>
                <c:manualLayout>
                  <c:x val="7.1111111111111111E-2"/>
                  <c:y val="0"/>
                </c:manualLayout>
              </c:layout>
              <c:showLegendKey val="0"/>
              <c:showVal val="1"/>
              <c:showCatName val="0"/>
              <c:showSerName val="0"/>
              <c:showPercent val="0"/>
              <c:showBubbleSize val="0"/>
            </c:dLbl>
            <c:spPr>
              <a:solidFill>
                <a:srgbClr val="8064A2">
                  <a:lumMod val="20000"/>
                  <a:lumOff val="8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4.2</c:v>
                </c:pt>
                <c:pt idx="1">
                  <c:v>1.4</c:v>
                </c:pt>
                <c:pt idx="2">
                  <c:v>0.7</c:v>
                </c:pt>
                <c:pt idx="3">
                  <c:v>0.5</c:v>
                </c:pt>
                <c:pt idx="4">
                  <c:v>0.2</c:v>
                </c:pt>
                <c:pt idx="5">
                  <c:v>0</c:v>
                </c:pt>
              </c:numCache>
            </c:numRef>
          </c:val>
        </c:ser>
        <c:ser>
          <c:idx val="2"/>
          <c:order val="2"/>
          <c:tx>
            <c:strRef>
              <c:f>Sheet1!$A$4</c:f>
              <c:strCache>
                <c:ptCount val="1"/>
                <c:pt idx="0">
                  <c:v>Бюджетные кредиты</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12700">
              <a:solidFill>
                <a:srgbClr val="000000"/>
              </a:solidFill>
              <a:prstDash val="solid"/>
            </a:ln>
          </c:spPr>
          <c:invertIfNegative val="0"/>
          <c:dLbls>
            <c:dLbl>
              <c:idx val="0"/>
              <c:layout>
                <c:manualLayout>
                  <c:x val="2.3079423964360149E-2"/>
                  <c:y val="-2.3827232122300503E-2"/>
                </c:manualLayout>
              </c:layout>
              <c:showLegendKey val="0"/>
              <c:showVal val="1"/>
              <c:showCatName val="0"/>
              <c:showSerName val="0"/>
              <c:showPercent val="0"/>
              <c:showBubbleSize val="0"/>
            </c:dLbl>
            <c:dLbl>
              <c:idx val="1"/>
              <c:layout>
                <c:manualLayout>
                  <c:x val="1.1386876640419971E-2"/>
                  <c:y val="-5.1403048303172577E-3"/>
                </c:manualLayout>
              </c:layout>
              <c:showLegendKey val="0"/>
              <c:showVal val="1"/>
              <c:showCatName val="0"/>
              <c:showSerName val="0"/>
              <c:showPercent val="0"/>
              <c:showBubbleSize val="0"/>
            </c:dLbl>
            <c:dLbl>
              <c:idx val="2"/>
              <c:layout>
                <c:manualLayout>
                  <c:x val="1.5980402449693801E-2"/>
                  <c:y val="-1.4635907353686053E-2"/>
                </c:manualLayout>
              </c:layout>
              <c:showLegendKey val="0"/>
              <c:showVal val="1"/>
              <c:showCatName val="0"/>
              <c:showSerName val="0"/>
              <c:showPercent val="0"/>
              <c:showBubbleSize val="0"/>
            </c:dLbl>
            <c:dLbl>
              <c:idx val="3"/>
              <c:layout>
                <c:manualLayout>
                  <c:x val="3.7962729658792653E-2"/>
                  <c:y val="-1.031413178615832E-2"/>
                </c:manualLayout>
              </c:layout>
              <c:showLegendKey val="0"/>
              <c:showVal val="1"/>
              <c:showCatName val="0"/>
              <c:showSerName val="0"/>
              <c:showPercent val="0"/>
              <c:showBubbleSize val="0"/>
            </c:dLbl>
            <c:dLbl>
              <c:idx val="4"/>
              <c:layout>
                <c:manualLayout>
                  <c:x val="4.4470166229221397E-2"/>
                  <c:y val="-5.4014458718975922E-2"/>
                </c:manualLayout>
              </c:layout>
              <c:showLegendKey val="0"/>
              <c:showVal val="1"/>
              <c:showCatName val="0"/>
              <c:showSerName val="0"/>
              <c:showPercent val="0"/>
              <c:showBubbleSize val="0"/>
            </c:dLbl>
            <c:spPr>
              <a:solidFill>
                <a:srgbClr val="4BACC6">
                  <a:lumMod val="20000"/>
                  <a:lumOff val="80000"/>
                </a:srgbClr>
              </a:solid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Sheet1!$B$4:$G$4</c:f>
              <c:numCache>
                <c:formatCode>General</c:formatCode>
                <c:ptCount val="6"/>
                <c:pt idx="0">
                  <c:v>33.799999999999997</c:v>
                </c:pt>
                <c:pt idx="1">
                  <c:v>40</c:v>
                </c:pt>
                <c:pt idx="2">
                  <c:v>37.200000000000003</c:v>
                </c:pt>
                <c:pt idx="3">
                  <c:v>34.700000000000003</c:v>
                </c:pt>
                <c:pt idx="4">
                  <c:v>65.400000000000006</c:v>
                </c:pt>
                <c:pt idx="5">
                  <c:v>67.2</c:v>
                </c:pt>
              </c:numCache>
            </c:numRef>
          </c:val>
        </c:ser>
        <c:dLbls>
          <c:showLegendKey val="0"/>
          <c:showVal val="1"/>
          <c:showCatName val="0"/>
          <c:showSerName val="0"/>
          <c:showPercent val="0"/>
          <c:showBubbleSize val="0"/>
        </c:dLbls>
        <c:gapWidth val="150"/>
        <c:gapDepth val="0"/>
        <c:shape val="box"/>
        <c:axId val="122519936"/>
        <c:axId val="122521472"/>
        <c:axId val="0"/>
      </c:bar3DChart>
      <c:catAx>
        <c:axId val="1225199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2521472"/>
        <c:crosses val="autoZero"/>
        <c:auto val="1"/>
        <c:lblAlgn val="ctr"/>
        <c:lblOffset val="100"/>
        <c:tickLblSkip val="1"/>
        <c:tickMarkSkip val="1"/>
        <c:noMultiLvlLbl val="0"/>
      </c:catAx>
      <c:valAx>
        <c:axId val="1225214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2519936"/>
        <c:crosses val="autoZero"/>
        <c:crossBetween val="between"/>
      </c:valAx>
      <c:spPr>
        <a:noFill/>
        <a:ln w="25400">
          <a:noFill/>
        </a:ln>
      </c:spPr>
    </c:plotArea>
    <c:legend>
      <c:legendPos val="b"/>
      <c:layout>
        <c:manualLayout>
          <c:xMode val="edge"/>
          <c:yMode val="edge"/>
          <c:x val="1.7408123791102521E-2"/>
          <c:y val="0.88844621513944222"/>
          <c:w val="0.95938104448742745"/>
          <c:h val="9.5617529880478225E-2"/>
        </c:manualLayout>
      </c:layout>
      <c:overlay val="0"/>
      <c:spPr>
        <a:noFill/>
        <a:ln w="3175">
          <a:no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2139427060348E-2"/>
          <c:y val="2.9147878254348641E-2"/>
          <c:w val="0.90862944162436565"/>
          <c:h val="0.71681681203991154"/>
        </c:manualLayout>
      </c:layout>
      <c:barChart>
        <c:barDir val="col"/>
        <c:grouping val="stacked"/>
        <c:varyColors val="0"/>
        <c:ser>
          <c:idx val="0"/>
          <c:order val="0"/>
          <c:tx>
            <c:strRef>
              <c:f>Sheet1!$A$2</c:f>
              <c:strCache>
                <c:ptCount val="1"/>
                <c:pt idx="0">
                  <c:v>Расходы на обслуживание долга, млн. руб.</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path path="circle">
                <a:fillToRect l="50000" t="50000" r="50000" b="50000"/>
              </a:path>
              <a:tileRect/>
            </a:gradFill>
            <a:ln w="12700">
              <a:solidFill>
                <a:srgbClr val="000000"/>
              </a:solidFill>
              <a:prstDash val="solid"/>
            </a:ln>
          </c:spPr>
          <c:invertIfNegative val="0"/>
          <c:dLbls>
            <c:dLbl>
              <c:idx val="0"/>
              <c:layout>
                <c:manualLayout>
                  <c:x val="-1.797215948517087E-2"/>
                  <c:y val="-0.12370652546315326"/>
                </c:manualLayout>
              </c:layout>
              <c:dLblPos val="ctr"/>
              <c:showLegendKey val="0"/>
              <c:showVal val="1"/>
              <c:showCatName val="0"/>
              <c:showSerName val="0"/>
              <c:showPercent val="0"/>
              <c:showBubbleSize val="0"/>
            </c:dLbl>
            <c:dLbl>
              <c:idx val="1"/>
              <c:layout>
                <c:manualLayout>
                  <c:x val="-6.8294847423548036E-2"/>
                  <c:y val="-0.20205340491621435"/>
                </c:manualLayout>
              </c:layout>
              <c:dLblPos val="ctr"/>
              <c:showLegendKey val="0"/>
              <c:showVal val="1"/>
              <c:showCatName val="0"/>
              <c:showSerName val="0"/>
              <c:showPercent val="0"/>
              <c:showBubbleSize val="0"/>
            </c:dLbl>
            <c:dLbl>
              <c:idx val="2"/>
              <c:layout>
                <c:manualLayout>
                  <c:x val="-6.5644677643986002E-2"/>
                  <c:y val="-0.2570816962750786"/>
                </c:manualLayout>
              </c:layout>
              <c:dLblPos val="ctr"/>
              <c:showLegendKey val="0"/>
              <c:showVal val="1"/>
              <c:showCatName val="0"/>
              <c:showSerName val="0"/>
              <c:showPercent val="0"/>
              <c:showBubbleSize val="0"/>
            </c:dLbl>
            <c:dLbl>
              <c:idx val="3"/>
              <c:layout>
                <c:manualLayout>
                  <c:x val="-6.8021099297224955E-2"/>
                  <c:y val="-0.3220853636294943"/>
                </c:manualLayout>
              </c:layout>
              <c:dLblPos val="ctr"/>
              <c:showLegendKey val="0"/>
              <c:showVal val="1"/>
              <c:showCatName val="0"/>
              <c:showSerName val="0"/>
              <c:showPercent val="0"/>
              <c:showBubbleSize val="0"/>
            </c:dLbl>
            <c:dLbl>
              <c:idx val="4"/>
              <c:layout>
                <c:manualLayout>
                  <c:x val="-5.0996954237591735E-2"/>
                  <c:y val="-0.26705501881320953"/>
                </c:manualLayout>
              </c:layout>
              <c:dLblPos val="ctr"/>
              <c:showLegendKey val="0"/>
              <c:showVal val="1"/>
              <c:showCatName val="0"/>
              <c:showSerName val="0"/>
              <c:showPercent val="0"/>
              <c:showBubbleSize val="0"/>
            </c:dLbl>
            <c:dLbl>
              <c:idx val="5"/>
              <c:layout>
                <c:manualLayout>
                  <c:x val="-5.8155691148361471E-2"/>
                  <c:y val="-0.16826950943027491"/>
                </c:manualLayout>
              </c:layout>
              <c:showLegendKey val="0"/>
              <c:showVal val="1"/>
              <c:showCatName val="0"/>
              <c:showSerName val="0"/>
              <c:showPercent val="0"/>
              <c:showBubbleSize val="0"/>
            </c:dLbl>
            <c:spPr>
              <a:solidFill>
                <a:srgbClr val="99CCFF"/>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522.4</c:v>
                </c:pt>
                <c:pt idx="1">
                  <c:v>1089.2</c:v>
                </c:pt>
                <c:pt idx="2">
                  <c:v>1396</c:v>
                </c:pt>
                <c:pt idx="3">
                  <c:v>1903.6</c:v>
                </c:pt>
                <c:pt idx="4">
                  <c:v>1449.8</c:v>
                </c:pt>
                <c:pt idx="5">
                  <c:v>792.9</c:v>
                </c:pt>
              </c:numCache>
            </c:numRef>
          </c:val>
        </c:ser>
        <c:dLbls>
          <c:showLegendKey val="0"/>
          <c:showVal val="1"/>
          <c:showCatName val="0"/>
          <c:showSerName val="0"/>
          <c:showPercent val="0"/>
          <c:showBubbleSize val="0"/>
        </c:dLbls>
        <c:gapWidth val="150"/>
        <c:overlap val="100"/>
        <c:axId val="122734848"/>
        <c:axId val="122750080"/>
      </c:barChart>
      <c:lineChart>
        <c:grouping val="stacked"/>
        <c:varyColors val="0"/>
        <c:ser>
          <c:idx val="2"/>
          <c:order val="1"/>
          <c:tx>
            <c:strRef>
              <c:f>Sheet1!$A$3</c:f>
              <c:strCache>
                <c:ptCount val="1"/>
                <c:pt idx="0">
                  <c:v>Доля расходов на обслуживание долга в расходах бюджета без учёта субвенций, %</c:v>
                </c:pt>
              </c:strCache>
            </c:strRef>
          </c:tx>
          <c:spPr>
            <a:ln w="38100">
              <a:solidFill>
                <a:srgbClr val="C00000"/>
              </a:solidFill>
              <a:prstDash val="solid"/>
            </a:ln>
          </c:spPr>
          <c:marker>
            <c:symbol val="triangle"/>
            <c:size val="9"/>
            <c:spPr>
              <a:solidFill>
                <a:srgbClr val="C00000"/>
              </a:solidFill>
              <a:ln>
                <a:solidFill>
                  <a:srgbClr val="C00000"/>
                </a:solidFill>
                <a:prstDash val="solid"/>
              </a:ln>
            </c:spPr>
          </c:marker>
          <c:dLbls>
            <c:dLbl>
              <c:idx val="0"/>
              <c:layout>
                <c:manualLayout>
                  <c:x val="-3.1828623957550206E-3"/>
                  <c:y val="-4.2546862313485839E-2"/>
                </c:manualLayout>
              </c:layout>
              <c:dLblPos val="r"/>
              <c:showLegendKey val="0"/>
              <c:showVal val="1"/>
              <c:showCatName val="0"/>
              <c:showSerName val="0"/>
              <c:showPercent val="0"/>
              <c:showBubbleSize val="0"/>
            </c:dLbl>
            <c:dLbl>
              <c:idx val="1"/>
              <c:layout>
                <c:manualLayout>
                  <c:x val="-7.5960077858426107E-3"/>
                  <c:y val="-5.2516151077401055E-2"/>
                </c:manualLayout>
              </c:layout>
              <c:dLblPos val="r"/>
              <c:showLegendKey val="0"/>
              <c:showVal val="1"/>
              <c:showCatName val="0"/>
              <c:showSerName val="0"/>
              <c:showPercent val="0"/>
              <c:showBubbleSize val="0"/>
            </c:dLbl>
            <c:dLbl>
              <c:idx val="2"/>
              <c:layout>
                <c:manualLayout>
                  <c:x val="-3.5796779634704311E-2"/>
                  <c:y val="-5.8026120127564099E-2"/>
                </c:manualLayout>
              </c:layout>
              <c:dLblPos val="r"/>
              <c:showLegendKey val="0"/>
              <c:showVal val="1"/>
              <c:showCatName val="0"/>
              <c:showSerName val="0"/>
              <c:showPercent val="0"/>
              <c:showBubbleSize val="0"/>
            </c:dLbl>
            <c:dLbl>
              <c:idx val="3"/>
              <c:layout>
                <c:manualLayout>
                  <c:x val="-3.8306083832544108E-2"/>
                  <c:y val="-4.7919010123734458E-2"/>
                </c:manualLayout>
              </c:layout>
              <c:dLblPos val="r"/>
              <c:showLegendKey val="0"/>
              <c:showVal val="1"/>
              <c:showCatName val="0"/>
              <c:showSerName val="0"/>
              <c:showPercent val="0"/>
              <c:showBubbleSize val="0"/>
            </c:dLbl>
            <c:dLbl>
              <c:idx val="4"/>
              <c:layout>
                <c:manualLayout>
                  <c:x val="-4.0523190415151594E-2"/>
                  <c:y val="-6.3924618118387372E-2"/>
                </c:manualLayout>
              </c:layout>
              <c:dLblPos val="r"/>
              <c:showLegendKey val="0"/>
              <c:showVal val="1"/>
              <c:showCatName val="0"/>
              <c:showSerName val="0"/>
              <c:showPercent val="0"/>
              <c:showBubbleSize val="0"/>
            </c:dLbl>
            <c:dLbl>
              <c:idx val="5"/>
              <c:layout>
                <c:manualLayout>
                  <c:x val="-3.5437430786267994E-2"/>
                  <c:y val="-6.2111801242235948E-2"/>
                </c:manualLayout>
              </c:layout>
              <c:showLegendKey val="0"/>
              <c:showVal val="1"/>
              <c:showCatName val="0"/>
              <c:showSerName val="0"/>
              <c:showPercent val="0"/>
              <c:showBubbleSize val="0"/>
            </c:dLbl>
            <c:spPr>
              <a:solidFill>
                <a:srgbClr val="FFFF99"/>
              </a:solidFill>
              <a:ln w="25400">
                <a:noFill/>
              </a:ln>
            </c:spPr>
            <c:txPr>
              <a:bodyPr/>
              <a:lstStyle/>
              <a:p>
                <a:pPr>
                  <a:defRPr sz="115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1.1000000000000001</c:v>
                </c:pt>
                <c:pt idx="1">
                  <c:v>1.6</c:v>
                </c:pt>
                <c:pt idx="2">
                  <c:v>2.7</c:v>
                </c:pt>
                <c:pt idx="3">
                  <c:v>4.3</c:v>
                </c:pt>
                <c:pt idx="4">
                  <c:v>3.2</c:v>
                </c:pt>
                <c:pt idx="5">
                  <c:v>1.8</c:v>
                </c:pt>
              </c:numCache>
            </c:numRef>
          </c:val>
          <c:smooth val="0"/>
        </c:ser>
        <c:dLbls>
          <c:showLegendKey val="0"/>
          <c:showVal val="1"/>
          <c:showCatName val="0"/>
          <c:showSerName val="0"/>
          <c:showPercent val="0"/>
          <c:showBubbleSize val="0"/>
        </c:dLbls>
        <c:marker val="1"/>
        <c:smooth val="0"/>
        <c:axId val="122734848"/>
        <c:axId val="122750080"/>
      </c:lineChart>
      <c:catAx>
        <c:axId val="122734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22750080"/>
        <c:crosses val="autoZero"/>
        <c:auto val="1"/>
        <c:lblAlgn val="ctr"/>
        <c:lblOffset val="100"/>
        <c:tickLblSkip val="1"/>
        <c:tickMarkSkip val="1"/>
        <c:noMultiLvlLbl val="0"/>
      </c:catAx>
      <c:valAx>
        <c:axId val="122750080"/>
        <c:scaling>
          <c:orientation val="minMax"/>
          <c:max val="2200"/>
          <c:min val="0"/>
        </c:scaling>
        <c:delete val="0"/>
        <c:axPos val="l"/>
        <c:majorGridlines>
          <c:spPr>
            <a:ln w="3175">
              <a:solidFill>
                <a:sysClr val="windowText" lastClr="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30000">
                <a:solidFill>
                  <a:srgbClr val="000000"/>
                </a:solidFill>
                <a:latin typeface="Times New Roman"/>
                <a:ea typeface="Times New Roman"/>
                <a:cs typeface="Times New Roman"/>
              </a:defRPr>
            </a:pPr>
            <a:endParaRPr lang="ru-RU"/>
          </a:p>
        </c:txPr>
        <c:crossAx val="122734848"/>
        <c:crosses val="autoZero"/>
        <c:crossBetween val="between"/>
        <c:majorUnit val="200"/>
      </c:valAx>
      <c:spPr>
        <a:solidFill>
          <a:srgbClr val="4F81BD">
            <a:lumMod val="20000"/>
            <a:lumOff val="80000"/>
          </a:srgbClr>
        </a:solidFill>
        <a:scene3d>
          <a:camera prst="orthographicFront"/>
          <a:lightRig rig="sunrise" dir="t"/>
        </a:scene3d>
        <a:sp3d prstMaterial="flat">
          <a:bevelT prst="relaxedInset"/>
          <a:bevelB prst="relaxedInset"/>
        </a:sp3d>
      </c:spPr>
    </c:plotArea>
    <c:legend>
      <c:legendPos val="b"/>
      <c:layout>
        <c:manualLayout>
          <c:xMode val="edge"/>
          <c:yMode val="edge"/>
          <c:x val="3.7652270210409747E-2"/>
          <c:y val="0.84910557897434535"/>
          <c:w val="0.81548944089547648"/>
          <c:h val="0.11822506722471551"/>
        </c:manualLayout>
      </c:layout>
      <c:overlay val="0"/>
      <c:spPr>
        <a:noFill/>
        <a:ln w="3175">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314387240056529"/>
          <c:y val="0"/>
          <c:w val="0.48820512820512818"/>
          <c:h val="1"/>
        </c:manualLayout>
      </c:layout>
      <c:pieChart>
        <c:varyColors val="1"/>
        <c:ser>
          <c:idx val="0"/>
          <c:order val="0"/>
          <c:tx>
            <c:strRef>
              <c:f>Sheet1!$A$2</c:f>
              <c:strCache>
                <c:ptCount val="1"/>
              </c:strCache>
            </c:strRef>
          </c:tx>
          <c:spPr>
            <a:ln w="15875">
              <a:solidFill>
                <a:sysClr val="windowText" lastClr="000000"/>
              </a:solidFill>
            </a:ln>
          </c:spPr>
          <c:dPt>
            <c:idx val="0"/>
            <c:bubble3D val="0"/>
            <c:explosion val="5"/>
            <c:spPr>
              <a:solidFill>
                <a:srgbClr val="FF0000"/>
              </a:solidFill>
              <a:ln w="15875">
                <a:solidFill>
                  <a:sysClr val="windowText" lastClr="000000"/>
                </a:solidFill>
              </a:ln>
            </c:spPr>
          </c:dPt>
          <c:dPt>
            <c:idx val="1"/>
            <c:bubble3D val="0"/>
            <c:explosion val="2"/>
            <c:spPr>
              <a:solidFill>
                <a:srgbClr val="00B0F0"/>
              </a:solidFill>
              <a:ln w="15875">
                <a:solidFill>
                  <a:sysClr val="windowText" lastClr="000000"/>
                </a:solidFill>
              </a:ln>
            </c:spPr>
          </c:dPt>
          <c:dPt>
            <c:idx val="2"/>
            <c:bubble3D val="0"/>
            <c:explosion val="8"/>
          </c:dPt>
          <c:dPt>
            <c:idx val="3"/>
            <c:bubble3D val="0"/>
            <c:explosion val="8"/>
          </c:dPt>
          <c:dPt>
            <c:idx val="4"/>
            <c:bubble3D val="0"/>
            <c:explosion val="6"/>
          </c:dPt>
          <c:dPt>
            <c:idx val="5"/>
            <c:bubble3D val="0"/>
            <c:explosion val="5"/>
          </c:dPt>
          <c:dPt>
            <c:idx val="6"/>
            <c:bubble3D val="0"/>
            <c:explosion val="2"/>
          </c:dPt>
          <c:dPt>
            <c:idx val="7"/>
            <c:bubble3D val="0"/>
          </c:dPt>
          <c:dLbls>
            <c:dLbl>
              <c:idx val="0"/>
              <c:layout>
                <c:manualLayout>
                  <c:x val="-1.7390672319806178E-3"/>
                  <c:y val="-0.40390558574544377"/>
                </c:manualLayout>
              </c:layout>
              <c:tx>
                <c:rich>
                  <a:bodyPr/>
                  <a:lstStyle/>
                  <a:p>
                    <a:r>
                      <a:rPr lang="ru-RU"/>
                      <a:t>город</a:t>
                    </a:r>
                  </a:p>
                  <a:p>
                    <a:r>
                      <a:rPr lang="ru-RU"/>
                      <a:t> Свободный; 51,3%</a:t>
                    </a:r>
                  </a:p>
                </c:rich>
              </c:tx>
              <c:dLblPos val="bestFit"/>
              <c:showLegendKey val="1"/>
              <c:showVal val="1"/>
              <c:showCatName val="1"/>
              <c:showSerName val="0"/>
              <c:showPercent val="0"/>
              <c:showBubbleSize val="0"/>
            </c:dLbl>
            <c:dLbl>
              <c:idx val="1"/>
              <c:layout>
                <c:manualLayout>
                  <c:x val="-0.18869840500706642"/>
                  <c:y val="-2.8169014084507043E-2"/>
                </c:manualLayout>
              </c:layout>
              <c:tx>
                <c:rich>
                  <a:bodyPr/>
                  <a:lstStyle/>
                  <a:p>
                    <a:r>
                      <a:rPr lang="ru-RU"/>
                      <a:t>г.Благовещенск; 13,3%</a:t>
                    </a:r>
                  </a:p>
                </c:rich>
              </c:tx>
              <c:dLblPos val="bestFit"/>
              <c:showLegendKey val="1"/>
              <c:showVal val="1"/>
              <c:showCatName val="1"/>
              <c:showSerName val="0"/>
              <c:showPercent val="0"/>
              <c:showBubbleSize val="0"/>
            </c:dLbl>
            <c:dLbl>
              <c:idx val="2"/>
              <c:layout>
                <c:manualLayout>
                  <c:x val="-0.14694468599556393"/>
                  <c:y val="-2.2911779625162533E-2"/>
                </c:manualLayout>
              </c:layout>
              <c:dLblPos val="bestFit"/>
              <c:showLegendKey val="1"/>
              <c:showVal val="1"/>
              <c:showCatName val="1"/>
              <c:showSerName val="0"/>
              <c:showPercent val="0"/>
              <c:showBubbleSize val="0"/>
            </c:dLbl>
            <c:dLbl>
              <c:idx val="3"/>
              <c:layout>
                <c:manualLayout>
                  <c:x val="-8.7133579150390897E-2"/>
                  <c:y val="3.3444530832940154E-2"/>
                </c:manualLayout>
              </c:layout>
              <c:tx>
                <c:rich>
                  <a:bodyPr/>
                  <a:lstStyle/>
                  <a:p>
                    <a:r>
                      <a:rPr lang="ru-RU"/>
                      <a:t>Ивановский район; 4,9%</a:t>
                    </a:r>
                  </a:p>
                </c:rich>
              </c:tx>
              <c:dLblPos val="bestFit"/>
              <c:showLegendKey val="1"/>
              <c:showVal val="1"/>
              <c:showCatName val="1"/>
              <c:showSerName val="0"/>
              <c:showPercent val="0"/>
              <c:showBubbleSize val="0"/>
            </c:dLbl>
            <c:dLbl>
              <c:idx val="4"/>
              <c:layout>
                <c:manualLayout>
                  <c:x val="-0.16728433072867138"/>
                  <c:y val="6.7941229241841275E-2"/>
                </c:manualLayout>
              </c:layout>
              <c:dLblPos val="bestFit"/>
              <c:showLegendKey val="1"/>
              <c:showVal val="1"/>
              <c:showCatName val="1"/>
              <c:showSerName val="0"/>
              <c:showPercent val="0"/>
              <c:showBubbleSize val="0"/>
            </c:dLbl>
            <c:dLbl>
              <c:idx val="5"/>
              <c:layout>
                <c:manualLayout>
                  <c:x val="-0.21462596406218454"/>
                  <c:y val="4.4082289009648438E-2"/>
                </c:manualLayout>
              </c:layout>
              <c:dLblPos val="bestFit"/>
              <c:showLegendKey val="1"/>
              <c:showVal val="1"/>
              <c:showCatName val="1"/>
              <c:showSerName val="0"/>
              <c:showPercent val="0"/>
              <c:showBubbleSize val="0"/>
            </c:dLbl>
            <c:dLbl>
              <c:idx val="6"/>
              <c:layout>
                <c:manualLayout>
                  <c:x val="-0.20844207550979202"/>
                  <c:y val="2.5541015119588926E-2"/>
                </c:manualLayout>
              </c:layout>
              <c:tx>
                <c:rich>
                  <a:bodyPr/>
                  <a:lstStyle/>
                  <a:p>
                    <a:r>
                      <a:rPr lang="ru-RU"/>
                      <a:t>Благовещенский район; 7,7%</a:t>
                    </a:r>
                  </a:p>
                </c:rich>
              </c:tx>
              <c:dLblPos val="bestFit"/>
              <c:showLegendKey val="1"/>
              <c:showVal val="1"/>
              <c:showCatName val="1"/>
              <c:showSerName val="0"/>
              <c:showPercent val="0"/>
              <c:showBubbleSize val="0"/>
            </c:dLbl>
            <c:dLbl>
              <c:idx val="7"/>
              <c:layout>
                <c:manualLayout>
                  <c:x val="-0.110768423177872"/>
                  <c:y val="2.8169014084507043E-2"/>
                </c:manualLayout>
              </c:layout>
              <c:tx>
                <c:rich>
                  <a:bodyPr/>
                  <a:lstStyle/>
                  <a:p>
                    <a:r>
                      <a:rPr lang="ru-RU"/>
                      <a:t>Прочие; 10,4%</a:t>
                    </a:r>
                  </a:p>
                </c:rich>
              </c:tx>
              <c:dLblPos val="bestFit"/>
              <c:showLegendKey val="1"/>
              <c:showVal val="1"/>
              <c:showCatName val="1"/>
              <c:showSerName val="0"/>
              <c:showPercent val="0"/>
              <c:showBubbleSize val="0"/>
            </c:dLbl>
            <c:numFmt formatCode="0.0%" sourceLinked="0"/>
            <c:spPr>
              <a:ln>
                <a:noFill/>
              </a:ln>
            </c:spPr>
            <c:txPr>
              <a:bodyPr/>
              <a:lstStyle/>
              <a:p>
                <a:pPr>
                  <a:defRPr b="1"/>
                </a:pPr>
                <a:endParaRPr lang="ru-RU"/>
              </a:p>
            </c:txPr>
            <c:dLblPos val="outEnd"/>
            <c:showLegendKey val="1"/>
            <c:showVal val="1"/>
            <c:showCatName val="1"/>
            <c:showSerName val="0"/>
            <c:showPercent val="0"/>
            <c:showBubbleSize val="0"/>
            <c:showLeaderLines val="1"/>
          </c:dLbls>
          <c:cat>
            <c:strRef>
              <c:f>Sheet1!$B$1:$I$1</c:f>
              <c:strCache>
                <c:ptCount val="8"/>
                <c:pt idx="0">
                  <c:v>город Свободный </c:v>
                </c:pt>
                <c:pt idx="1">
                  <c:v>город Благовещенск</c:v>
                </c:pt>
                <c:pt idx="2">
                  <c:v>Магдагачинский район</c:v>
                </c:pt>
                <c:pt idx="3">
                  <c:v>Ивановский район </c:v>
                </c:pt>
                <c:pt idx="4">
                  <c:v>город Белогорск</c:v>
                </c:pt>
                <c:pt idx="5">
                  <c:v>Михайловский район</c:v>
                </c:pt>
                <c:pt idx="6">
                  <c:v>Благовещенский район</c:v>
                </c:pt>
                <c:pt idx="7">
                  <c:v>Прчие </c:v>
                </c:pt>
              </c:strCache>
            </c:strRef>
          </c:cat>
          <c:val>
            <c:numRef>
              <c:f>Sheet1!$B$2:$I$2</c:f>
              <c:numCache>
                <c:formatCode>0.00%</c:formatCode>
                <c:ptCount val="8"/>
                <c:pt idx="0">
                  <c:v>0.51300000000000001</c:v>
                </c:pt>
                <c:pt idx="1">
                  <c:v>0.13300000000000001</c:v>
                </c:pt>
                <c:pt idx="2">
                  <c:v>5.1999999999999998E-2</c:v>
                </c:pt>
                <c:pt idx="3">
                  <c:v>4.9000000000000002E-2</c:v>
                </c:pt>
                <c:pt idx="4">
                  <c:v>4.2000000000000003E-2</c:v>
                </c:pt>
                <c:pt idx="5">
                  <c:v>0.03</c:v>
                </c:pt>
                <c:pt idx="6">
                  <c:v>7.6999999999999999E-2</c:v>
                </c:pt>
                <c:pt idx="7">
                  <c:v>0.104</c:v>
                </c:pt>
              </c:numCache>
            </c:numRef>
          </c:val>
        </c:ser>
        <c:dLbls>
          <c:showLegendKey val="0"/>
          <c:showVal val="0"/>
          <c:showCatName val="0"/>
          <c:showSerName val="0"/>
          <c:showPercent val="1"/>
          <c:showBubbleSize val="0"/>
          <c:showLeaderLines val="1"/>
        </c:dLbls>
        <c:firstSliceAng val="0"/>
      </c:pieChart>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1.5208333333333336E-2"/>
          <c:y val="3.5835835835835855E-2"/>
          <c:w val="0.98432874015748029"/>
          <c:h val="0.70700807037524305"/>
        </c:manualLayout>
      </c:layout>
      <c:bar3DChart>
        <c:barDir val="col"/>
        <c:grouping val="clustered"/>
        <c:varyColors val="0"/>
        <c:ser>
          <c:idx val="0"/>
          <c:order val="0"/>
          <c:tx>
            <c:strRef>
              <c:f>Лист1!$B$1</c:f>
              <c:strCache>
                <c:ptCount val="1"/>
                <c:pt idx="0">
                  <c:v>2017</c:v>
                </c:pt>
              </c:strCache>
            </c:strRef>
          </c:tx>
          <c:invertIfNegative val="0"/>
          <c:dLbls>
            <c:dLbl>
              <c:idx val="0"/>
              <c:layout>
                <c:manualLayout>
                  <c:x val="3.7037401574803149E-3"/>
                  <c:y val="-1.9841302445889917E-2"/>
                </c:manualLayout>
              </c:layout>
              <c:showLegendKey val="0"/>
              <c:showVal val="1"/>
              <c:showCatName val="0"/>
              <c:showSerName val="0"/>
              <c:showPercent val="0"/>
              <c:showBubbleSize val="0"/>
            </c:dLbl>
            <c:txPr>
              <a:bodyPr/>
              <a:lstStyle/>
              <a:p>
                <a:pPr>
                  <a:defRPr b="1" i="0"/>
                </a:pPr>
                <a:endParaRPr lang="ru-RU"/>
              </a:p>
            </c:txPr>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31.1</c:v>
                </c:pt>
                <c:pt idx="1">
                  <c:v>150.6</c:v>
                </c:pt>
                <c:pt idx="2">
                  <c:v>158.69999999999999</c:v>
                </c:pt>
                <c:pt idx="3">
                  <c:v>197.6</c:v>
                </c:pt>
                <c:pt idx="4" formatCode="0.0">
                  <c:v>211.1</c:v>
                </c:pt>
                <c:pt idx="5">
                  <c:v>111.3</c:v>
                </c:pt>
                <c:pt idx="6">
                  <c:v>94.1</c:v>
                </c:pt>
                <c:pt idx="7">
                  <c:v>125.5</c:v>
                </c:pt>
                <c:pt idx="8">
                  <c:v>130.5</c:v>
                </c:pt>
                <c:pt idx="9">
                  <c:v>153.1</c:v>
                </c:pt>
                <c:pt idx="10">
                  <c:v>164.1</c:v>
                </c:pt>
                <c:pt idx="11">
                  <c:v>42.5</c:v>
                </c:pt>
              </c:numCache>
            </c:numRef>
          </c:val>
        </c:ser>
        <c:ser>
          <c:idx val="1"/>
          <c:order val="1"/>
          <c:tx>
            <c:strRef>
              <c:f>Лист1!$C$1</c:f>
              <c:strCache>
                <c:ptCount val="1"/>
                <c:pt idx="0">
                  <c:v>2018</c:v>
                </c:pt>
              </c:strCache>
            </c:strRef>
          </c:tx>
          <c:invertIfNegative val="0"/>
          <c:dLbls>
            <c:dLbl>
              <c:idx val="0"/>
              <c:layout>
                <c:manualLayout>
                  <c:x val="6.944225721784777E-3"/>
                  <c:y val="-1.9737837118186313E-2"/>
                </c:manualLayout>
              </c:layout>
              <c:showLegendKey val="0"/>
              <c:showVal val="1"/>
              <c:showCatName val="0"/>
              <c:showSerName val="0"/>
              <c:showPercent val="0"/>
              <c:showBubbleSize val="0"/>
            </c:dLbl>
            <c:dLbl>
              <c:idx val="1"/>
              <c:layout>
                <c:manualLayout>
                  <c:x val="6.2500000000000003E-3"/>
                  <c:y val="-3.3250207813798837E-3"/>
                </c:manualLayout>
              </c:layout>
              <c:showLegendKey val="0"/>
              <c:showVal val="1"/>
              <c:showCatName val="0"/>
              <c:showSerName val="0"/>
              <c:showPercent val="0"/>
              <c:showBubbleSize val="0"/>
            </c:dLbl>
            <c:dLbl>
              <c:idx val="2"/>
              <c:layout>
                <c:manualLayout>
                  <c:x val="4.1666666666666666E-3"/>
                  <c:y val="0"/>
                </c:manualLayout>
              </c:layout>
              <c:showLegendKey val="0"/>
              <c:showVal val="1"/>
              <c:showCatName val="0"/>
              <c:showSerName val="0"/>
              <c:showPercent val="0"/>
              <c:showBubbleSize val="0"/>
            </c:dLbl>
            <c:dLbl>
              <c:idx val="3"/>
              <c:layout>
                <c:manualLayout>
                  <c:x val="4.1666666666666666E-3"/>
                  <c:y val="0"/>
                </c:manualLayout>
              </c:layout>
              <c:showLegendKey val="0"/>
              <c:showVal val="1"/>
              <c:showCatName val="0"/>
              <c:showSerName val="0"/>
              <c:showPercent val="0"/>
              <c:showBubbleSize val="0"/>
            </c:dLbl>
            <c:dLbl>
              <c:idx val="4"/>
              <c:layout>
                <c:manualLayout>
                  <c:x val="8.3333333333333332E-3"/>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8.6</c:v>
                </c:pt>
                <c:pt idx="1">
                  <c:v>9.8000000000000007</c:v>
                </c:pt>
                <c:pt idx="2">
                  <c:v>8.1999999999999993</c:v>
                </c:pt>
                <c:pt idx="3">
                  <c:v>3.5</c:v>
                </c:pt>
                <c:pt idx="4" formatCode="0.0">
                  <c:v>3.3</c:v>
                </c:pt>
              </c:numCache>
            </c:numRef>
          </c:val>
        </c:ser>
        <c:dLbls>
          <c:showLegendKey val="0"/>
          <c:showVal val="0"/>
          <c:showCatName val="0"/>
          <c:showSerName val="0"/>
          <c:showPercent val="0"/>
          <c:showBubbleSize val="0"/>
        </c:dLbls>
        <c:gapWidth val="22"/>
        <c:gapDepth val="14"/>
        <c:shape val="cylinder"/>
        <c:axId val="55486720"/>
        <c:axId val="56098816"/>
        <c:axId val="0"/>
      </c:bar3DChart>
      <c:catAx>
        <c:axId val="55486720"/>
        <c:scaling>
          <c:orientation val="minMax"/>
        </c:scaling>
        <c:delete val="0"/>
        <c:axPos val="b"/>
        <c:numFmt formatCode="General" sourceLinked="1"/>
        <c:majorTickMark val="out"/>
        <c:minorTickMark val="none"/>
        <c:tickLblPos val="nextTo"/>
        <c:crossAx val="56098816"/>
        <c:crosses val="autoZero"/>
        <c:auto val="1"/>
        <c:lblAlgn val="ctr"/>
        <c:lblOffset val="100"/>
        <c:noMultiLvlLbl val="0"/>
      </c:catAx>
      <c:valAx>
        <c:axId val="56098816"/>
        <c:scaling>
          <c:orientation val="minMax"/>
        </c:scaling>
        <c:delete val="0"/>
        <c:axPos val="l"/>
        <c:majorGridlines>
          <c:spPr>
            <a:ln>
              <a:noFill/>
            </a:ln>
          </c:spPr>
        </c:majorGridlines>
        <c:numFmt formatCode="General" sourceLinked="1"/>
        <c:majorTickMark val="none"/>
        <c:minorTickMark val="none"/>
        <c:tickLblPos val="none"/>
        <c:spPr>
          <a:ln>
            <a:noFill/>
          </a:ln>
        </c:spPr>
        <c:crossAx val="55486720"/>
        <c:crosses val="autoZero"/>
        <c:crossBetween val="between"/>
      </c:valAx>
    </c:plotArea>
    <c:legend>
      <c:legendPos val="b"/>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lineChart>
        <c:grouping val="standard"/>
        <c:varyColors val="0"/>
        <c:ser>
          <c:idx val="0"/>
          <c:order val="0"/>
          <c:tx>
            <c:strRef>
              <c:f>Лист1!$B$1</c:f>
              <c:strCache>
                <c:ptCount val="1"/>
                <c:pt idx="0">
                  <c:v>Прогноз 1 вариант</c:v>
                </c:pt>
              </c:strCache>
            </c:strRef>
          </c:tx>
          <c:marker>
            <c:symbol val="none"/>
          </c:marker>
          <c:dLbls>
            <c:dLbl>
              <c:idx val="0"/>
              <c:layout>
                <c:manualLayout>
                  <c:x val="-1.0116337885685382E-2"/>
                  <c:y val="3.5409179621778045E-2"/>
                </c:manualLayout>
              </c:layout>
              <c:showLegendKey val="0"/>
              <c:showVal val="1"/>
              <c:showCatName val="0"/>
              <c:showSerName val="0"/>
              <c:showPercent val="0"/>
              <c:showBubbleSize val="0"/>
            </c:dLbl>
            <c:dLbl>
              <c:idx val="1"/>
              <c:layout>
                <c:manualLayout>
                  <c:x val="-1.4162873039959535E-2"/>
                  <c:y val="6.8070866141732328E-2"/>
                </c:manualLayout>
              </c:layout>
              <c:showLegendKey val="0"/>
              <c:showVal val="1"/>
              <c:showCatName val="0"/>
              <c:showSerName val="0"/>
              <c:showPercent val="0"/>
              <c:showBubbleSize val="0"/>
            </c:dLbl>
            <c:dLbl>
              <c:idx val="2"/>
              <c:layout>
                <c:manualLayout>
                  <c:x val="-3.43955488113303E-2"/>
                  <c:y val="5.4639948852547277E-2"/>
                </c:manualLayout>
              </c:layout>
              <c:showLegendKey val="0"/>
              <c:showVal val="1"/>
              <c:showCatName val="0"/>
              <c:showSerName val="0"/>
              <c:showPercent val="0"/>
              <c:showBubbleSize val="0"/>
            </c:dLbl>
            <c:dLbl>
              <c:idx val="3"/>
              <c:layout>
                <c:manualLayout>
                  <c:x val="-4.0465351542741529E-3"/>
                  <c:y val="4.273504273504273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Лист1!$B$2:$B$5</c:f>
              <c:numCache>
                <c:formatCode>0.0</c:formatCode>
                <c:ptCount val="4"/>
                <c:pt idx="0">
                  <c:v>287.5</c:v>
                </c:pt>
                <c:pt idx="1">
                  <c:v>295.12027999999998</c:v>
                </c:pt>
                <c:pt idx="2">
                  <c:v>278.3</c:v>
                </c:pt>
                <c:pt idx="3">
                  <c:v>295.46935999999999</c:v>
                </c:pt>
              </c:numCache>
            </c:numRef>
          </c:val>
          <c:smooth val="1"/>
        </c:ser>
        <c:ser>
          <c:idx val="1"/>
          <c:order val="1"/>
          <c:tx>
            <c:strRef>
              <c:f>Лист1!$C$1</c:f>
              <c:strCache>
                <c:ptCount val="1"/>
                <c:pt idx="0">
                  <c:v>Прогноз 2 вариант</c:v>
                </c:pt>
              </c:strCache>
            </c:strRef>
          </c:tx>
          <c:marker>
            <c:symbol val="none"/>
          </c:marker>
          <c:dLbls>
            <c:dLbl>
              <c:idx val="0"/>
              <c:layout>
                <c:manualLayout>
                  <c:x val="-2.6302478502781994E-2"/>
                  <c:y val="-6.7460461673060093E-2"/>
                </c:manualLayout>
              </c:layout>
              <c:showLegendKey val="0"/>
              <c:showVal val="1"/>
              <c:showCatName val="0"/>
              <c:showSerName val="0"/>
              <c:showPercent val="0"/>
              <c:showBubbleSize val="0"/>
            </c:dLbl>
            <c:dLbl>
              <c:idx val="1"/>
              <c:layout>
                <c:manualLayout>
                  <c:x val="-1.0116337885685382E-2"/>
                  <c:y val="-4.4871794871794851E-2"/>
                </c:manualLayout>
              </c:layout>
              <c:showLegendKey val="0"/>
              <c:showVal val="1"/>
              <c:showCatName val="0"/>
              <c:showSerName val="0"/>
              <c:showPercent val="0"/>
              <c:showBubbleSize val="0"/>
            </c:dLbl>
            <c:dLbl>
              <c:idx val="2"/>
              <c:layout>
                <c:manualLayout>
                  <c:x val="-1.4162873039959535E-2"/>
                  <c:y val="-4.5482199340467058E-2"/>
                </c:manualLayout>
              </c:layout>
              <c:showLegendKey val="0"/>
              <c:showVal val="1"/>
              <c:showCatName val="0"/>
              <c:showSerName val="0"/>
              <c:showPercent val="0"/>
              <c:showBubbleSize val="0"/>
            </c:dLbl>
            <c:dLbl>
              <c:idx val="3"/>
              <c:delete val="1"/>
            </c:dLbl>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Лист1!$C$2:$C$5</c:f>
              <c:numCache>
                <c:formatCode>0.0</c:formatCode>
                <c:ptCount val="4"/>
                <c:pt idx="0">
                  <c:v>289.39999999999998</c:v>
                </c:pt>
                <c:pt idx="1">
                  <c:v>299.38189</c:v>
                </c:pt>
                <c:pt idx="2">
                  <c:v>280</c:v>
                </c:pt>
                <c:pt idx="3">
                  <c:v>295.46935999999999</c:v>
                </c:pt>
              </c:numCache>
            </c:numRef>
          </c:val>
          <c:smooth val="1"/>
        </c:ser>
        <c:ser>
          <c:idx val="2"/>
          <c:order val="2"/>
          <c:tx>
            <c:strRef>
              <c:f>Лист1!$D$1</c:f>
              <c:strCache>
                <c:ptCount val="1"/>
                <c:pt idx="0">
                  <c:v>Факт (за 2017 год - оценка)</c:v>
                </c:pt>
              </c:strCache>
            </c:strRef>
          </c:tx>
          <c:marker>
            <c:symbol val="none"/>
          </c:marker>
          <c:dLbls>
            <c:dLbl>
              <c:idx val="0"/>
              <c:layout>
                <c:manualLayout>
                  <c:x val="-2.2255943348507841E-2"/>
                  <c:y val="5.3418803418803416E-2"/>
                </c:manualLayout>
              </c:layout>
              <c:showLegendKey val="0"/>
              <c:showVal val="1"/>
              <c:showCatName val="0"/>
              <c:showSerName val="0"/>
              <c:showPercent val="0"/>
              <c:showBubbleSize val="0"/>
            </c:dLbl>
            <c:dLbl>
              <c:idx val="1"/>
              <c:layout>
                <c:manualLayout>
                  <c:x val="-2.2255943348507841E-2"/>
                  <c:y val="4.7008547008547008E-2"/>
                </c:manualLayout>
              </c:layout>
              <c:showLegendKey val="0"/>
              <c:showVal val="1"/>
              <c:showCatName val="0"/>
              <c:showSerName val="0"/>
              <c:showPercent val="0"/>
              <c:showBubbleSize val="0"/>
            </c:dLbl>
            <c:dLbl>
              <c:idx val="2"/>
              <c:layout>
                <c:manualLayout>
                  <c:x val="-4.6535154274152758E-2"/>
                  <c:y val="-5.9829059829059832E-2"/>
                </c:manualLayout>
              </c:layout>
              <c:showLegendKey val="0"/>
              <c:showVal val="1"/>
              <c:showCatName val="0"/>
              <c:showSerName val="0"/>
              <c:showPercent val="0"/>
              <c:showBubbleSize val="0"/>
            </c:dLbl>
            <c:dLbl>
              <c:idx val="3"/>
              <c:layout>
                <c:manualLayout>
                  <c:x val="-2.0232675771370764E-3"/>
                  <c:y val="-4.273504273504273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Лист1!$D$2:$D$5</c:f>
              <c:numCache>
                <c:formatCode>0.0</c:formatCode>
                <c:ptCount val="4"/>
                <c:pt idx="0">
                  <c:v>232.1</c:v>
                </c:pt>
                <c:pt idx="1">
                  <c:v>277.39999999999998</c:v>
                </c:pt>
                <c:pt idx="2">
                  <c:v>287.59429999999998</c:v>
                </c:pt>
                <c:pt idx="3">
                  <c:v>313.29678000000001</c:v>
                </c:pt>
              </c:numCache>
            </c:numRef>
          </c:val>
          <c:smooth val="1"/>
        </c:ser>
        <c:dLbls>
          <c:showLegendKey val="0"/>
          <c:showVal val="1"/>
          <c:showCatName val="0"/>
          <c:showSerName val="0"/>
          <c:showPercent val="0"/>
          <c:showBubbleSize val="0"/>
        </c:dLbls>
        <c:hiLowLines/>
        <c:marker val="1"/>
        <c:smooth val="0"/>
        <c:axId val="62331904"/>
        <c:axId val="62333696"/>
      </c:lineChart>
      <c:catAx>
        <c:axId val="62331904"/>
        <c:scaling>
          <c:orientation val="minMax"/>
        </c:scaling>
        <c:delete val="0"/>
        <c:axPos val="b"/>
        <c:numFmt formatCode="General" sourceLinked="1"/>
        <c:majorTickMark val="out"/>
        <c:minorTickMark val="none"/>
        <c:tickLblPos val="nextTo"/>
        <c:crossAx val="62333696"/>
        <c:crosses val="autoZero"/>
        <c:auto val="1"/>
        <c:lblAlgn val="ctr"/>
        <c:lblOffset val="100"/>
        <c:noMultiLvlLbl val="0"/>
      </c:catAx>
      <c:valAx>
        <c:axId val="62333696"/>
        <c:scaling>
          <c:orientation val="minMax"/>
          <c:max val="320"/>
          <c:min val="220"/>
        </c:scaling>
        <c:delete val="0"/>
        <c:axPos val="l"/>
        <c:majorGridlines>
          <c:spPr>
            <a:ln>
              <a:noFill/>
            </a:ln>
          </c:spPr>
        </c:majorGridlines>
        <c:title>
          <c:tx>
            <c:rich>
              <a:bodyPr rot="0" vert="horz"/>
              <a:lstStyle/>
              <a:p>
                <a:pPr>
                  <a:defRPr b="0"/>
                </a:pPr>
                <a:r>
                  <a:rPr lang="ru-RU" b="0"/>
                  <a:t>млрд. рублей</a:t>
                </a:r>
              </a:p>
            </c:rich>
          </c:tx>
          <c:layout>
            <c:manualLayout>
              <c:xMode val="edge"/>
              <c:yMode val="edge"/>
              <c:x val="1.8209408194233688E-2"/>
              <c:y val="0.7202080989876265"/>
            </c:manualLayout>
          </c:layout>
          <c:overlay val="0"/>
        </c:title>
        <c:numFmt formatCode="0.0" sourceLinked="1"/>
        <c:majorTickMark val="out"/>
        <c:minorTickMark val="none"/>
        <c:tickLblPos val="nextTo"/>
        <c:crossAx val="62331904"/>
        <c:crosses val="autoZero"/>
        <c:crossBetween val="between"/>
        <c:majorUnit val="50"/>
      </c:valAx>
    </c:plotArea>
    <c:legend>
      <c:legendPos val="r"/>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9.7477355389923425E-3"/>
          <c:y val="4.3859649122807015E-2"/>
          <c:w val="0.97480361690693706"/>
          <c:h val="0.84675438596491226"/>
        </c:manualLayout>
      </c:layout>
      <c:bar3DChart>
        <c:barDir val="col"/>
        <c:grouping val="clustered"/>
        <c:varyColors val="0"/>
        <c:ser>
          <c:idx val="0"/>
          <c:order val="0"/>
          <c:tx>
            <c:strRef>
              <c:f>Лист1!$B$1</c:f>
              <c:strCache>
                <c:ptCount val="1"/>
                <c:pt idx="0">
                  <c:v>Столбец1</c:v>
                </c:pt>
              </c:strCache>
            </c:strRef>
          </c:tx>
          <c:spPr>
            <a:gradFill flip="none" rotWithShape="1">
              <a:gsLst>
                <a:gs pos="0">
                  <a:srgbClr val="BB9301"/>
                </a:gs>
                <a:gs pos="50000">
                  <a:srgbClr val="F0DF02"/>
                </a:gs>
                <a:gs pos="100000">
                  <a:srgbClr val="FFFF29"/>
                </a:gs>
              </a:gsLst>
              <a:lin ang="10800000" scaled="1"/>
              <a:tileRect/>
            </a:gradFill>
            <a:effectLst>
              <a:outerShdw blurRad="50800" dist="38100" algn="l" rotWithShape="0">
                <a:prstClr val="black">
                  <a:alpha val="40000"/>
                </a:prstClr>
              </a:outerShdw>
            </a:effectLst>
            <a:scene3d>
              <a:camera prst="orthographicFront"/>
              <a:lightRig rig="threePt" dir="t"/>
            </a:scene3d>
            <a:sp3d prstMaterial="softEdge">
              <a:bevelT w="165100" prst="coolSlant"/>
            </a:sp3d>
          </c:spPr>
          <c:invertIfNegative val="0"/>
          <c:dLbls>
            <c:dLbl>
              <c:idx val="0"/>
              <c:layout>
                <c:manualLayout>
                  <c:x val="2.1760633036597428E-2"/>
                  <c:y val="-3.5087719298245612E-2"/>
                </c:manualLayout>
              </c:layout>
              <c:showLegendKey val="0"/>
              <c:showVal val="1"/>
              <c:showCatName val="0"/>
              <c:showSerName val="0"/>
              <c:showPercent val="0"/>
              <c:showBubbleSize val="0"/>
            </c:dLbl>
            <c:dLbl>
              <c:idx val="1"/>
              <c:layout>
                <c:manualLayout>
                  <c:x val="2.1760633036597428E-2"/>
                  <c:y val="-2.6315789473684209E-2"/>
                </c:manualLayout>
              </c:layout>
              <c:showLegendKey val="0"/>
              <c:showVal val="1"/>
              <c:showCatName val="0"/>
              <c:showSerName val="0"/>
              <c:showPercent val="0"/>
              <c:showBubbleSize val="0"/>
            </c:dLbl>
            <c:dLbl>
              <c:idx val="2"/>
              <c:layout>
                <c:manualLayout>
                  <c:x val="2.1760633036597428E-2"/>
                  <c:y val="-3.0701754385964911E-2"/>
                </c:manualLayout>
              </c:layout>
              <c:showLegendKey val="0"/>
              <c:showVal val="1"/>
              <c:showCatName val="0"/>
              <c:showSerName val="0"/>
              <c:showPercent val="0"/>
              <c:showBubbleSize val="0"/>
            </c:dLbl>
            <c:dLbl>
              <c:idx val="3"/>
              <c:layout>
                <c:manualLayout>
                  <c:x val="2.967359050445104E-2"/>
                  <c:y val="-3.0701754385964911E-2"/>
                </c:manualLayout>
              </c:layout>
              <c:showLegendKey val="0"/>
              <c:showVal val="1"/>
              <c:showCatName val="0"/>
              <c:showSerName val="0"/>
              <c:showPercent val="0"/>
              <c:showBubbleSize val="0"/>
            </c:dLbl>
            <c:dLbl>
              <c:idx val="4"/>
              <c:layout>
                <c:manualLayout>
                  <c:x val="2.1760633036597428E-2"/>
                  <c:y val="-2.1929824561403508E-2"/>
                </c:manualLayout>
              </c:layout>
              <c:showLegendKey val="0"/>
              <c:showVal val="1"/>
              <c:showCatName val="0"/>
              <c:showSerName val="0"/>
              <c:showPercent val="0"/>
              <c:showBubbleSize val="0"/>
            </c:dLbl>
            <c:txPr>
              <a:bodyPr anchor="t" anchorCtr="1"/>
              <a:lstStyle/>
              <a:p>
                <a:pPr>
                  <a:defRPr sz="1200" b="1"/>
                </a:pPr>
                <a:endParaRPr lang="ru-RU"/>
              </a:p>
            </c:txPr>
            <c:showLegendKey val="0"/>
            <c:showVal val="1"/>
            <c:showCatName val="0"/>
            <c:showSerName val="0"/>
            <c:showPercent val="0"/>
            <c:showBubbleSize val="0"/>
            <c:showLeaderLines val="0"/>
          </c:dLbls>
          <c:cat>
            <c:strRef>
              <c:f>Лист1!$A$2:$A$6</c:f>
              <c:strCache>
                <c:ptCount val="5"/>
                <c:pt idx="0">
                  <c:v>2013 год</c:v>
                </c:pt>
                <c:pt idx="1">
                  <c:v>2014 год</c:v>
                </c:pt>
                <c:pt idx="2">
                  <c:v>2015 год</c:v>
                </c:pt>
                <c:pt idx="3">
                  <c:v>2016 год</c:v>
                </c:pt>
                <c:pt idx="4">
                  <c:v>2017 год (оценка)</c:v>
                </c:pt>
              </c:strCache>
            </c:strRef>
          </c:cat>
          <c:val>
            <c:numRef>
              <c:f>Лист1!$B$2:$B$6</c:f>
              <c:numCache>
                <c:formatCode>General</c:formatCode>
                <c:ptCount val="5"/>
                <c:pt idx="0">
                  <c:v>89.4</c:v>
                </c:pt>
                <c:pt idx="1">
                  <c:v>103.1</c:v>
                </c:pt>
                <c:pt idx="2">
                  <c:v>103.7</c:v>
                </c:pt>
                <c:pt idx="3">
                  <c:v>98.6</c:v>
                </c:pt>
                <c:pt idx="4">
                  <c:v>103.62</c:v>
                </c:pt>
              </c:numCache>
            </c:numRef>
          </c:val>
        </c:ser>
        <c:dLbls>
          <c:showLegendKey val="0"/>
          <c:showVal val="0"/>
          <c:showCatName val="0"/>
          <c:showSerName val="0"/>
          <c:showPercent val="0"/>
          <c:showBubbleSize val="0"/>
        </c:dLbls>
        <c:gapWidth val="80"/>
        <c:shape val="box"/>
        <c:axId val="62383616"/>
        <c:axId val="62385152"/>
        <c:axId val="0"/>
      </c:bar3DChart>
      <c:catAx>
        <c:axId val="62383616"/>
        <c:scaling>
          <c:orientation val="minMax"/>
        </c:scaling>
        <c:delete val="0"/>
        <c:axPos val="b"/>
        <c:majorTickMark val="out"/>
        <c:minorTickMark val="none"/>
        <c:tickLblPos val="nextTo"/>
        <c:crossAx val="62385152"/>
        <c:crosses val="autoZero"/>
        <c:auto val="1"/>
        <c:lblAlgn val="ctr"/>
        <c:lblOffset val="100"/>
        <c:noMultiLvlLbl val="0"/>
      </c:catAx>
      <c:valAx>
        <c:axId val="62385152"/>
        <c:scaling>
          <c:orientation val="minMax"/>
          <c:min val="80"/>
        </c:scaling>
        <c:delete val="0"/>
        <c:axPos val="l"/>
        <c:majorGridlines>
          <c:spPr>
            <a:ln>
              <a:noFill/>
            </a:ln>
          </c:spPr>
        </c:majorGridlines>
        <c:numFmt formatCode="General" sourceLinked="1"/>
        <c:majorTickMark val="none"/>
        <c:minorTickMark val="none"/>
        <c:tickLblPos val="none"/>
        <c:spPr>
          <a:noFill/>
          <a:ln>
            <a:noFill/>
          </a:ln>
        </c:spPr>
        <c:crossAx val="62383616"/>
        <c:crosses val="autoZero"/>
        <c:crossBetween val="between"/>
        <c:majorUnit val="10"/>
      </c:valAx>
      <c:spPr>
        <a:noFill/>
        <a:ln>
          <a:noFill/>
        </a:ln>
      </c:spPr>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1116952900572471E-2"/>
          <c:y val="0"/>
          <c:w val="0.94907407407408173"/>
          <c:h val="0.73722303723441418"/>
        </c:manualLayout>
      </c:layout>
      <c:barChart>
        <c:barDir val="col"/>
        <c:grouping val="clustered"/>
        <c:varyColors val="0"/>
        <c:ser>
          <c:idx val="0"/>
          <c:order val="0"/>
          <c:tx>
            <c:strRef>
              <c:f>Лист1!$B$1</c:f>
              <c:strCache>
                <c:ptCount val="1"/>
                <c:pt idx="0">
                  <c:v>Зерновые культуры (в весе после доработки)</c:v>
                </c:pt>
              </c:strCache>
            </c:strRef>
          </c:tx>
          <c:spPr>
            <a:solidFill>
              <a:srgbClr val="FFFF00"/>
            </a:solidFill>
            <a:ln w="12700">
              <a:solidFill>
                <a:schemeClr val="tx1"/>
              </a:solidFill>
            </a:ln>
            <a:effectLst>
              <a:innerShdw blurRad="152400" dir="16200000">
                <a:sysClr val="window" lastClr="FFFFFF">
                  <a:alpha val="50000"/>
                </a:sysClr>
              </a:innerShdw>
            </a:effectLst>
            <a:scene3d>
              <a:camera prst="orthographicFront"/>
              <a:lightRig rig="freezing"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2016 год</c:v>
                </c:pt>
                <c:pt idx="1">
                  <c:v>2017 год</c:v>
                </c:pt>
              </c:strCache>
            </c:strRef>
          </c:cat>
          <c:val>
            <c:numRef>
              <c:f>Лист1!$B$2:$B$3</c:f>
              <c:numCache>
                <c:formatCode>General</c:formatCode>
                <c:ptCount val="2"/>
                <c:pt idx="0">
                  <c:v>474.6</c:v>
                </c:pt>
                <c:pt idx="1">
                  <c:v>395.1</c:v>
                </c:pt>
              </c:numCache>
            </c:numRef>
          </c:val>
        </c:ser>
        <c:ser>
          <c:idx val="1"/>
          <c:order val="1"/>
          <c:tx>
            <c:strRef>
              <c:f>Лист1!$C$1</c:f>
              <c:strCache>
                <c:ptCount val="1"/>
                <c:pt idx="0">
                  <c:v>Соя (в весе после доработки)</c:v>
                </c:pt>
              </c:strCache>
            </c:strRef>
          </c:tx>
          <c:spPr>
            <a:solidFill>
              <a:srgbClr val="FFC00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2016 год</c:v>
                </c:pt>
                <c:pt idx="1">
                  <c:v>2017 год</c:v>
                </c:pt>
              </c:strCache>
            </c:strRef>
          </c:cat>
          <c:val>
            <c:numRef>
              <c:f>Лист1!$C$2:$C$3</c:f>
              <c:numCache>
                <c:formatCode>General</c:formatCode>
                <c:ptCount val="2"/>
                <c:pt idx="0">
                  <c:v>918.9</c:v>
                </c:pt>
                <c:pt idx="1">
                  <c:v>1265.4000000000001</c:v>
                </c:pt>
              </c:numCache>
            </c:numRef>
          </c:val>
        </c:ser>
        <c:ser>
          <c:idx val="2"/>
          <c:order val="2"/>
          <c:tx>
            <c:strRef>
              <c:f>Лист1!$D$1</c:f>
              <c:strCache>
                <c:ptCount val="1"/>
                <c:pt idx="0">
                  <c:v>Картофель</c:v>
                </c:pt>
              </c:strCache>
            </c:strRef>
          </c:tx>
          <c:spPr>
            <a:solidFill>
              <a:srgbClr val="996633"/>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2016 год</c:v>
                </c:pt>
                <c:pt idx="1">
                  <c:v>2017 год</c:v>
                </c:pt>
              </c:strCache>
            </c:strRef>
          </c:cat>
          <c:val>
            <c:numRef>
              <c:f>Лист1!$D$2:$D$3</c:f>
              <c:numCache>
                <c:formatCode>General</c:formatCode>
                <c:ptCount val="2"/>
                <c:pt idx="0">
                  <c:v>278.10000000000002</c:v>
                </c:pt>
                <c:pt idx="1">
                  <c:v>308.89999999999998</c:v>
                </c:pt>
              </c:numCache>
            </c:numRef>
          </c:val>
        </c:ser>
        <c:ser>
          <c:idx val="3"/>
          <c:order val="3"/>
          <c:tx>
            <c:strRef>
              <c:f>Лист1!$E$1</c:f>
              <c:strCache>
                <c:ptCount val="1"/>
                <c:pt idx="0">
                  <c:v>Овощи</c:v>
                </c:pt>
              </c:strCache>
            </c:strRef>
          </c:tx>
          <c:spPr>
            <a:solidFill>
              <a:srgbClr val="00B050"/>
            </a:solidFill>
            <a:ln>
              <a:solidFill>
                <a:srgbClr val="1F497D"/>
              </a:solidFill>
            </a:ln>
            <a:effectLst>
              <a:outerShdw blurRad="50800" dist="38100" algn="l" rotWithShape="0">
                <a:prstClr val="black">
                  <a:alpha val="40000"/>
                </a:prstClr>
              </a:outerShdw>
            </a:effectLst>
            <a:scene3d>
              <a:camera prst="orthographicFront"/>
              <a:lightRig rig="chilly" dir="t"/>
            </a:scene3d>
            <a:sp3d prstMaterial="dkEdge">
              <a:bevelT prst="angle"/>
            </a:sp3d>
          </c:spPr>
          <c:invertIfNegative val="0"/>
          <c:dLbls>
            <c:showLegendKey val="0"/>
            <c:showVal val="1"/>
            <c:showCatName val="0"/>
            <c:showSerName val="0"/>
            <c:showPercent val="0"/>
            <c:showBubbleSize val="0"/>
            <c:showLeaderLines val="0"/>
          </c:dLbls>
          <c:cat>
            <c:strRef>
              <c:f>Лист1!$A$2:$A$3</c:f>
              <c:strCache>
                <c:ptCount val="2"/>
                <c:pt idx="0">
                  <c:v>2016 год</c:v>
                </c:pt>
                <c:pt idx="1">
                  <c:v>2017 год</c:v>
                </c:pt>
              </c:strCache>
            </c:strRef>
          </c:cat>
          <c:val>
            <c:numRef>
              <c:f>Лист1!$E$2:$E$3</c:f>
              <c:numCache>
                <c:formatCode>General</c:formatCode>
                <c:ptCount val="2"/>
                <c:pt idx="0">
                  <c:v>67.2</c:v>
                </c:pt>
                <c:pt idx="1">
                  <c:v>73</c:v>
                </c:pt>
              </c:numCache>
            </c:numRef>
          </c:val>
        </c:ser>
        <c:dLbls>
          <c:showLegendKey val="0"/>
          <c:showVal val="0"/>
          <c:showCatName val="0"/>
          <c:showSerName val="0"/>
          <c:showPercent val="0"/>
          <c:showBubbleSize val="0"/>
        </c:dLbls>
        <c:gapWidth val="150"/>
        <c:axId val="62409728"/>
        <c:axId val="62419712"/>
      </c:barChart>
      <c:catAx>
        <c:axId val="62409728"/>
        <c:scaling>
          <c:orientation val="minMax"/>
        </c:scaling>
        <c:delete val="0"/>
        <c:axPos val="b"/>
        <c:numFmt formatCode="General" sourceLinked="1"/>
        <c:majorTickMark val="out"/>
        <c:minorTickMark val="none"/>
        <c:tickLblPos val="nextTo"/>
        <c:spPr>
          <a:ln w="16909">
            <a:solidFill>
              <a:srgbClr val="000099"/>
            </a:solidFill>
          </a:ln>
        </c:spPr>
        <c:crossAx val="62419712"/>
        <c:crosses val="autoZero"/>
        <c:auto val="1"/>
        <c:lblAlgn val="ctr"/>
        <c:lblOffset val="100"/>
        <c:noMultiLvlLbl val="0"/>
      </c:catAx>
      <c:valAx>
        <c:axId val="62419712"/>
        <c:scaling>
          <c:orientation val="minMax"/>
        </c:scaling>
        <c:delete val="1"/>
        <c:axPos val="l"/>
        <c:numFmt formatCode="General" sourceLinked="1"/>
        <c:majorTickMark val="out"/>
        <c:minorTickMark val="none"/>
        <c:tickLblPos val="none"/>
        <c:crossAx val="62409728"/>
        <c:crosses val="autoZero"/>
        <c:crossBetween val="between"/>
      </c:valAx>
      <c:spPr>
        <a:ln>
          <a:noFill/>
        </a:ln>
      </c:spPr>
    </c:plotArea>
    <c:legend>
      <c:legendPos val="b"/>
      <c:layout>
        <c:manualLayout>
          <c:xMode val="edge"/>
          <c:yMode val="edge"/>
          <c:x val="6.6445933388761189E-2"/>
          <c:y val="0.84609522668981962"/>
          <c:w val="0.8999999170719819"/>
          <c:h val="0.13130704669520873"/>
        </c:manualLayout>
      </c:layout>
      <c:overlay val="0"/>
    </c:legend>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5020712772351531E-5"/>
          <c:y val="3.1746137833566557E-2"/>
          <c:w val="0.99998497928722763"/>
          <c:h val="0.76195588532202707"/>
        </c:manualLayout>
      </c:layout>
      <c:lineChart>
        <c:grouping val="standard"/>
        <c:varyColors val="0"/>
        <c:ser>
          <c:idx val="0"/>
          <c:order val="0"/>
          <c:tx>
            <c:strRef>
              <c:f>Лист1!$B$1</c:f>
              <c:strCache>
                <c:ptCount val="1"/>
                <c:pt idx="0">
                  <c:v>Сводный индекс цен на продукцию                                                                                                                                       (затраты, услуги) инвестиционного назначения</c:v>
                </c:pt>
              </c:strCache>
            </c:strRef>
          </c:tx>
          <c:spPr>
            <a:ln w="50800"/>
          </c:spPr>
          <c:marker>
            <c:symbol val="none"/>
          </c:marker>
          <c:dLbls>
            <c:dLbl>
              <c:idx val="0"/>
              <c:layout>
                <c:manualLayout>
                  <c:x val="-8.3012048192771082E-2"/>
                  <c:y val="1.71677214088292E-2"/>
                </c:manualLayout>
              </c:layout>
              <c:dLblPos val="r"/>
              <c:showLegendKey val="0"/>
              <c:showVal val="1"/>
              <c:showCatName val="0"/>
              <c:showSerName val="0"/>
              <c:showPercent val="0"/>
              <c:showBubbleSize val="0"/>
            </c:dLbl>
            <c:dLbl>
              <c:idx val="1"/>
              <c:layout>
                <c:manualLayout>
                  <c:x val="-8.0321285140562242E-3"/>
                  <c:y val="-3.0188522107813448E-2"/>
                </c:manualLayout>
              </c:layout>
              <c:dLblPos val="r"/>
              <c:showLegendKey val="0"/>
              <c:showVal val="1"/>
              <c:showCatName val="0"/>
              <c:showSerName val="0"/>
              <c:showPercent val="0"/>
              <c:showBubbleSize val="0"/>
            </c:dLbl>
            <c:dLbl>
              <c:idx val="2"/>
              <c:layout>
                <c:manualLayout>
                  <c:x val="-7.4297188755020074E-2"/>
                  <c:y val="-5.4008681607106805E-2"/>
                </c:manualLayout>
              </c:layout>
              <c:dLblPos val="r"/>
              <c:showLegendKey val="0"/>
              <c:showVal val="1"/>
              <c:showCatName val="0"/>
              <c:showSerName val="0"/>
              <c:showPercent val="0"/>
              <c:showBubbleSize val="0"/>
            </c:dLbl>
            <c:dLbl>
              <c:idx val="3"/>
              <c:layout>
                <c:manualLayout>
                  <c:x val="-1.2048192771084338E-2"/>
                  <c:y val="3.6145561380424261E-2"/>
                </c:manualLayout>
              </c:layout>
              <c:dLblPos val="r"/>
              <c:showLegendKey val="0"/>
              <c:showVal val="1"/>
              <c:showCatName val="0"/>
              <c:showSerName val="0"/>
              <c:showPercent val="0"/>
              <c:showBubbleSize val="0"/>
            </c:dLbl>
            <c:dLbl>
              <c:idx val="4"/>
              <c:layout>
                <c:manualLayout>
                  <c:x val="-1.0040160642570281E-2"/>
                  <c:y val="-1.4757200442782848E-2"/>
                </c:manualLayout>
              </c:layout>
              <c:dLblPos val="r"/>
              <c:showLegendKey val="0"/>
              <c:showVal val="1"/>
              <c:showCatName val="0"/>
              <c:showSerName val="0"/>
              <c:showPercent val="0"/>
              <c:showBubbleSize val="0"/>
            </c:dLbl>
            <c:numFmt formatCode="#,##0.0" sourceLinked="0"/>
            <c:spPr>
              <a:ln w="15875">
                <a:solidFill>
                  <a:srgbClr val="0070C0"/>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106</c:v>
                </c:pt>
                <c:pt idx="1">
                  <c:v>106.2</c:v>
                </c:pt>
                <c:pt idx="2">
                  <c:v>103.3</c:v>
                </c:pt>
                <c:pt idx="3">
                  <c:v>114.2</c:v>
                </c:pt>
                <c:pt idx="4">
                  <c:v>109.7</c:v>
                </c:pt>
              </c:numCache>
            </c:numRef>
          </c:val>
          <c:smooth val="1"/>
        </c:ser>
        <c:ser>
          <c:idx val="1"/>
          <c:order val="1"/>
          <c:tx>
            <c:strRef>
              <c:f>Лист1!$C$1</c:f>
              <c:strCache>
                <c:ptCount val="1"/>
                <c:pt idx="0">
                  <c:v>Индекс цен производителей                                                                                                                                        
на строительную продукцию</c:v>
                </c:pt>
              </c:strCache>
            </c:strRef>
          </c:tx>
          <c:spPr>
            <a:ln w="50800"/>
          </c:spPr>
          <c:marker>
            <c:symbol val="none"/>
          </c:marker>
          <c:dLbls>
            <c:dLbl>
              <c:idx val="0"/>
              <c:layout>
                <c:manualLayout>
                  <c:x val="-8.3012048192771082E-2"/>
                  <c:y val="-1.8894296037928946E-2"/>
                </c:manualLayout>
              </c:layout>
              <c:dLblPos val="r"/>
              <c:showLegendKey val="0"/>
              <c:showVal val="1"/>
              <c:showCatName val="0"/>
              <c:showSerName val="0"/>
              <c:showPercent val="0"/>
              <c:showBubbleSize val="0"/>
            </c:dLbl>
            <c:dLbl>
              <c:idx val="1"/>
              <c:layout>
                <c:manualLayout>
                  <c:x val="-7.767068273092366E-2"/>
                  <c:y val="2.9325034635922499E-2"/>
                </c:manualLayout>
              </c:layout>
              <c:dLblPos val="r"/>
              <c:showLegendKey val="0"/>
              <c:showVal val="1"/>
              <c:showCatName val="0"/>
              <c:showSerName val="0"/>
              <c:showPercent val="0"/>
              <c:showBubbleSize val="0"/>
            </c:dLbl>
            <c:dLbl>
              <c:idx val="2"/>
              <c:layout>
                <c:manualLayout>
                  <c:x val="-1.0040160642570281E-2"/>
                  <c:y val="1.9757026392921043E-2"/>
                </c:manualLayout>
              </c:layout>
              <c:dLblPos val="r"/>
              <c:showLegendKey val="0"/>
              <c:showVal val="1"/>
              <c:showCatName val="0"/>
              <c:showSerName val="0"/>
              <c:showPercent val="0"/>
              <c:showBubbleSize val="0"/>
            </c:dLbl>
            <c:dLbl>
              <c:idx val="3"/>
              <c:layout>
                <c:manualLayout>
                  <c:x val="-1.2048192771084338E-2"/>
                  <c:y val="-5.3397662162256242E-2"/>
                </c:manualLayout>
              </c:layout>
              <c:dLblPos val="r"/>
              <c:showLegendKey val="0"/>
              <c:showVal val="1"/>
              <c:showCatName val="0"/>
              <c:showSerName val="0"/>
              <c:showPercent val="0"/>
              <c:showBubbleSize val="0"/>
            </c:dLbl>
            <c:dLbl>
              <c:idx val="4"/>
              <c:layout>
                <c:manualLayout>
                  <c:x val="-8.0321285140562242E-3"/>
                  <c:y val="-3.5714285714285643E-2"/>
                </c:manualLayout>
              </c:layout>
              <c:dLblPos val="r"/>
              <c:showLegendKey val="0"/>
              <c:showVal val="1"/>
              <c:showCatName val="0"/>
              <c:showSerName val="0"/>
              <c:showPercent val="0"/>
              <c:showBubbleSize val="0"/>
            </c:dLbl>
            <c:numFmt formatCode="#,##0.0" sourceLinked="0"/>
            <c:spPr>
              <a:ln w="15875">
                <a:solidFill>
                  <a:srgbClr val="C00000"/>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107.2</c:v>
                </c:pt>
                <c:pt idx="1">
                  <c:v>105.5</c:v>
                </c:pt>
                <c:pt idx="2">
                  <c:v>92.2</c:v>
                </c:pt>
                <c:pt idx="3">
                  <c:v>120.6</c:v>
                </c:pt>
                <c:pt idx="4">
                  <c:v>111.9</c:v>
                </c:pt>
              </c:numCache>
            </c:numRef>
          </c:val>
          <c:smooth val="1"/>
        </c:ser>
        <c:ser>
          <c:idx val="2"/>
          <c:order val="2"/>
          <c:tx>
            <c:strRef>
              <c:f>Лист1!$D$1</c:f>
              <c:strCache>
                <c:ptCount val="1"/>
                <c:pt idx="0">
                  <c:v>Индекс цен на первичном рынке жилья</c:v>
                </c:pt>
              </c:strCache>
            </c:strRef>
          </c:tx>
          <c:spPr>
            <a:ln w="50800"/>
          </c:spPr>
          <c:marker>
            <c:symbol val="none"/>
          </c:marker>
          <c:dLbls>
            <c:dLbl>
              <c:idx val="0"/>
              <c:layout>
                <c:manualLayout>
                  <c:x val="-8.2329317269076302E-2"/>
                  <c:y val="3.6577483517478152E-2"/>
                </c:manualLayout>
              </c:layout>
              <c:dLblPos val="r"/>
              <c:showLegendKey val="0"/>
              <c:showVal val="1"/>
              <c:showCatName val="0"/>
              <c:showSerName val="0"/>
              <c:showPercent val="0"/>
              <c:showBubbleSize val="0"/>
            </c:dLbl>
            <c:dLbl>
              <c:idx val="1"/>
              <c:layout>
                <c:manualLayout>
                  <c:x val="-7.6305220883534142E-2"/>
                  <c:y val="4.0798401526069186E-2"/>
                </c:manualLayout>
              </c:layout>
              <c:dLblPos val="r"/>
              <c:showLegendKey val="0"/>
              <c:showVal val="1"/>
              <c:showCatName val="0"/>
              <c:showSerName val="0"/>
              <c:showPercent val="0"/>
              <c:showBubbleSize val="0"/>
            </c:dLbl>
            <c:dLbl>
              <c:idx val="2"/>
              <c:layout>
                <c:manualLayout>
                  <c:x val="-7.8995983935742975E-2"/>
                  <c:y val="4.0366479389015365E-2"/>
                </c:manualLayout>
              </c:layout>
              <c:dLblPos val="r"/>
              <c:showLegendKey val="0"/>
              <c:showVal val="1"/>
              <c:showCatName val="0"/>
              <c:showSerName val="0"/>
              <c:showPercent val="0"/>
              <c:showBubbleSize val="0"/>
            </c:dLbl>
            <c:dLbl>
              <c:idx val="3"/>
              <c:layout>
                <c:manualLayout>
                  <c:x val="-1.2730923694779116E-2"/>
                  <c:y val="4.6755640956021083E-2"/>
                </c:manualLayout>
              </c:layout>
              <c:dLblPos val="r"/>
              <c:showLegendKey val="0"/>
              <c:showVal val="1"/>
              <c:showCatName val="0"/>
              <c:showSerName val="0"/>
              <c:showPercent val="0"/>
              <c:showBubbleSize val="0"/>
            </c:dLbl>
            <c:dLbl>
              <c:idx val="4"/>
              <c:layout>
                <c:manualLayout>
                  <c:x val="-8.0321285140562242E-3"/>
                  <c:y val="-1.1125824126095644E-2"/>
                </c:manualLayout>
              </c:layout>
              <c:dLblPos val="r"/>
              <c:showLegendKey val="0"/>
              <c:showVal val="1"/>
              <c:showCatName val="0"/>
              <c:showSerName val="0"/>
              <c:showPercent val="0"/>
              <c:showBubbleSize val="0"/>
            </c:dLbl>
            <c:numFmt formatCode="#,##0.0" sourceLinked="0"/>
            <c:spPr>
              <a:ln w="15875">
                <a:solidFill>
                  <a:schemeClr val="accent3">
                    <a:lumMod val="75000"/>
                  </a:schemeClr>
                </a:solidFill>
              </a:ln>
            </c:spPr>
            <c:txPr>
              <a:bodyPr/>
              <a:lstStyle/>
              <a:p>
                <a:pPr>
                  <a:defRPr sz="1200" b="1"/>
                </a:pPr>
                <a:endParaRPr lang="ru-RU"/>
              </a:p>
            </c:txPr>
            <c:dLblPos val="l"/>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103.9</c:v>
                </c:pt>
                <c:pt idx="1">
                  <c:v>102</c:v>
                </c:pt>
                <c:pt idx="2">
                  <c:v>102.9</c:v>
                </c:pt>
                <c:pt idx="3">
                  <c:v>98</c:v>
                </c:pt>
                <c:pt idx="4">
                  <c:v>96.3</c:v>
                </c:pt>
              </c:numCache>
            </c:numRef>
          </c:val>
          <c:smooth val="1"/>
        </c:ser>
        <c:ser>
          <c:idx val="3"/>
          <c:order val="3"/>
          <c:tx>
            <c:strRef>
              <c:f>Лист1!$E$1</c:f>
              <c:strCache>
                <c:ptCount val="1"/>
                <c:pt idx="0">
                  <c:v>Индекс цен на вторичном рынке жилья</c:v>
                </c:pt>
              </c:strCache>
            </c:strRef>
          </c:tx>
          <c:spPr>
            <a:ln w="50800"/>
          </c:spPr>
          <c:marker>
            <c:symbol val="none"/>
          </c:marker>
          <c:dLbls>
            <c:dLbl>
              <c:idx val="0"/>
              <c:layout>
                <c:manualLayout>
                  <c:x val="-8.4337349397590355E-2"/>
                  <c:y val="-3.6577483517478089E-2"/>
                </c:manualLayout>
              </c:layout>
              <c:showLegendKey val="0"/>
              <c:showVal val="1"/>
              <c:showCatName val="0"/>
              <c:showSerName val="0"/>
              <c:showPercent val="0"/>
              <c:showBubbleSize val="0"/>
            </c:dLbl>
            <c:dLbl>
              <c:idx val="1"/>
              <c:layout>
                <c:manualLayout>
                  <c:x val="-1.0040160642570281E-2"/>
                  <c:y val="-3.8903625110521665E-2"/>
                </c:manualLayout>
              </c:layout>
              <c:showLegendKey val="0"/>
              <c:showVal val="1"/>
              <c:showCatName val="0"/>
              <c:showSerName val="0"/>
              <c:showPercent val="0"/>
              <c:showBubbleSize val="0"/>
            </c:dLbl>
            <c:dLbl>
              <c:idx val="2"/>
              <c:layout>
                <c:manualLayout>
                  <c:x val="-7.8313253012048195E-2"/>
                  <c:y val="9.1954022988505746E-2"/>
                </c:manualLayout>
              </c:layout>
              <c:showLegendKey val="0"/>
              <c:showVal val="1"/>
              <c:showCatName val="0"/>
              <c:showSerName val="0"/>
              <c:showPercent val="0"/>
              <c:showBubbleSize val="0"/>
            </c:dLbl>
            <c:dLbl>
              <c:idx val="3"/>
              <c:layout>
                <c:manualLayout>
                  <c:x val="-1.0040160642570281E-2"/>
                  <c:y val="-4.2440318302387266E-2"/>
                </c:manualLayout>
              </c:layout>
              <c:showLegendKey val="0"/>
              <c:showVal val="1"/>
              <c:showCatName val="0"/>
              <c:showSerName val="0"/>
              <c:showPercent val="0"/>
              <c:showBubbleSize val="0"/>
            </c:dLbl>
            <c:dLbl>
              <c:idx val="4"/>
              <c:layout>
                <c:manualLayout>
                  <c:x val="-8.0321285140562242E-3"/>
                  <c:y val="-3.1830238726790451E-2"/>
                </c:manualLayout>
              </c:layout>
              <c:showLegendKey val="0"/>
              <c:showVal val="1"/>
              <c:showCatName val="0"/>
              <c:showSerName val="0"/>
              <c:showPercent val="0"/>
              <c:showBubbleSize val="0"/>
            </c:dLbl>
            <c:spPr>
              <a:noFill/>
              <a:ln w="15875">
                <a:solidFill>
                  <a:schemeClr val="accent4">
                    <a:shade val="95000"/>
                    <a:satMod val="105000"/>
                  </a:schemeClr>
                </a:solidFill>
              </a:ln>
            </c:spPr>
            <c:txPr>
              <a:bodyPr/>
              <a:lstStyle/>
              <a:p>
                <a:pPr>
                  <a:defRPr sz="1200" b="1"/>
                </a:pPr>
                <a:endParaRPr lang="ru-RU"/>
              </a:p>
            </c:txPr>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Лист1!$E$2:$E$6</c:f>
              <c:numCache>
                <c:formatCode>General</c:formatCode>
                <c:ptCount val="5"/>
                <c:pt idx="0">
                  <c:v>109.6</c:v>
                </c:pt>
                <c:pt idx="1">
                  <c:v>110.1</c:v>
                </c:pt>
                <c:pt idx="2">
                  <c:v>102.4</c:v>
                </c:pt>
                <c:pt idx="3">
                  <c:v>99.9</c:v>
                </c:pt>
                <c:pt idx="4">
                  <c:v>100.2</c:v>
                </c:pt>
              </c:numCache>
            </c:numRef>
          </c:val>
          <c:smooth val="1"/>
        </c:ser>
        <c:dLbls>
          <c:showLegendKey val="0"/>
          <c:showVal val="0"/>
          <c:showCatName val="0"/>
          <c:showSerName val="0"/>
          <c:showPercent val="0"/>
          <c:showBubbleSize val="0"/>
        </c:dLbls>
        <c:marker val="1"/>
        <c:smooth val="0"/>
        <c:axId val="78517376"/>
        <c:axId val="78518912"/>
      </c:lineChart>
      <c:catAx>
        <c:axId val="78517376"/>
        <c:scaling>
          <c:orientation val="minMax"/>
        </c:scaling>
        <c:delete val="0"/>
        <c:axPos val="b"/>
        <c:majorGridlines>
          <c:spPr>
            <a:ln>
              <a:noFill/>
              <a:prstDash val="dashDot"/>
            </a:ln>
          </c:spPr>
        </c:majorGridlines>
        <c:minorGridlines>
          <c:spPr>
            <a:ln>
              <a:prstDash val="dash"/>
            </a:ln>
          </c:spPr>
        </c:minorGridlines>
        <c:numFmt formatCode="General" sourceLinked="1"/>
        <c:majorTickMark val="out"/>
        <c:minorTickMark val="none"/>
        <c:tickLblPos val="nextTo"/>
        <c:crossAx val="78518912"/>
        <c:crosses val="autoZero"/>
        <c:auto val="1"/>
        <c:lblAlgn val="ctr"/>
        <c:lblOffset val="100"/>
        <c:noMultiLvlLbl val="0"/>
      </c:catAx>
      <c:valAx>
        <c:axId val="78518912"/>
        <c:scaling>
          <c:orientation val="minMax"/>
          <c:max val="125"/>
          <c:min val="90"/>
        </c:scaling>
        <c:delete val="0"/>
        <c:axPos val="l"/>
        <c:numFmt formatCode="General" sourceLinked="1"/>
        <c:majorTickMark val="none"/>
        <c:minorTickMark val="none"/>
        <c:tickLblPos val="none"/>
        <c:spPr>
          <a:ln>
            <a:noFill/>
          </a:ln>
        </c:spPr>
        <c:crossAx val="78517376"/>
        <c:crosses val="autoZero"/>
        <c:crossBetween val="between"/>
        <c:majorUnit val="10"/>
      </c:valAx>
    </c:plotArea>
    <c:legend>
      <c:legendPos val="b"/>
      <c:layout>
        <c:manualLayout>
          <c:xMode val="edge"/>
          <c:yMode val="edge"/>
          <c:x val="0"/>
          <c:y val="0.83588613923259591"/>
          <c:w val="0.99795180722891563"/>
          <c:h val="0.16411386076740409"/>
        </c:manualLayout>
      </c:layout>
      <c:overlay val="0"/>
    </c:legend>
    <c:plotVisOnly val="1"/>
    <c:dispBlanksAs val="zero"/>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9006696114205444"/>
          <c:y val="0.11303444212330602"/>
          <c:w val="0.45331984721422125"/>
          <c:h val="0.81280380768730465"/>
        </c:manualLayout>
      </c:layout>
      <c:pieChart>
        <c:varyColors val="1"/>
        <c:ser>
          <c:idx val="0"/>
          <c:order val="0"/>
          <c:tx>
            <c:strRef>
              <c:f>Sheet1!$A$2</c:f>
              <c:strCache>
                <c:ptCount val="1"/>
              </c:strCache>
            </c:strRef>
          </c:tx>
          <c:spPr>
            <a:ln w="22225">
              <a:solidFill>
                <a:schemeClr val="bg1"/>
              </a:solidFill>
            </a:ln>
          </c:spPr>
          <c:dPt>
            <c:idx val="0"/>
            <c:bubble3D val="0"/>
            <c:explosion val="5"/>
          </c:dPt>
          <c:dPt>
            <c:idx val="1"/>
            <c:bubble3D val="0"/>
            <c:explosion val="2"/>
          </c:dPt>
          <c:dPt>
            <c:idx val="2"/>
            <c:bubble3D val="0"/>
            <c:explosion val="8"/>
          </c:dPt>
          <c:dPt>
            <c:idx val="3"/>
            <c:bubble3D val="0"/>
            <c:explosion val="8"/>
          </c:dPt>
          <c:dPt>
            <c:idx val="4"/>
            <c:bubble3D val="0"/>
            <c:explosion val="6"/>
          </c:dPt>
          <c:dPt>
            <c:idx val="5"/>
            <c:bubble3D val="0"/>
            <c:explosion val="5"/>
          </c:dPt>
          <c:dPt>
            <c:idx val="6"/>
            <c:bubble3D val="0"/>
            <c:explosion val="2"/>
          </c:dPt>
          <c:dPt>
            <c:idx val="7"/>
            <c:bubble3D val="0"/>
          </c:dPt>
          <c:dLbls>
            <c:dLbl>
              <c:idx val="1"/>
              <c:layout>
                <c:manualLayout>
                  <c:x val="2.6843552562743966E-2"/>
                  <c:y val="0"/>
                </c:manualLayout>
              </c:layout>
              <c:dLblPos val="bestFit"/>
              <c:showLegendKey val="1"/>
              <c:showVal val="1"/>
              <c:showCatName val="1"/>
              <c:showSerName val="0"/>
              <c:showPercent val="0"/>
              <c:showBubbleSize val="0"/>
              <c:separator> </c:separator>
            </c:dLbl>
            <c:dLbl>
              <c:idx val="2"/>
              <c:layout>
                <c:manualLayout>
                  <c:x val="4.2116370888051263E-3"/>
                  <c:y val="3.6450038815570587E-2"/>
                </c:manualLayout>
              </c:layout>
              <c:dLblPos val="bestFit"/>
              <c:showLegendKey val="1"/>
              <c:showVal val="1"/>
              <c:showCatName val="1"/>
              <c:showSerName val="0"/>
              <c:showPercent val="0"/>
              <c:showBubbleSize val="0"/>
              <c:separator> </c:separator>
            </c:dLbl>
            <c:dLbl>
              <c:idx val="3"/>
              <c:layout>
                <c:manualLayout>
                  <c:x val="-2.9097819331357005E-2"/>
                  <c:y val="0.13665668551994381"/>
                </c:manualLayout>
              </c:layout>
              <c:dLblPos val="bestFit"/>
              <c:showLegendKey val="1"/>
              <c:showVal val="1"/>
              <c:showCatName val="1"/>
              <c:showSerName val="0"/>
              <c:showPercent val="0"/>
              <c:showBubbleSize val="0"/>
              <c:separator> </c:separator>
            </c:dLbl>
            <c:dLbl>
              <c:idx val="4"/>
              <c:layout>
                <c:manualLayout>
                  <c:x val="-4.7903347686309231E-2"/>
                  <c:y val="8.1933385087427452E-2"/>
                </c:manualLayout>
              </c:layout>
              <c:dLblPos val="bestFit"/>
              <c:showLegendKey val="1"/>
              <c:showVal val="1"/>
              <c:showCatName val="1"/>
              <c:showSerName val="0"/>
              <c:showPercent val="0"/>
              <c:showBubbleSize val="0"/>
              <c:separator> </c:separator>
            </c:dLbl>
            <c:dLbl>
              <c:idx val="5"/>
              <c:layout>
                <c:manualLayout>
                  <c:x val="-6.4320469311012443E-2"/>
                  <c:y val="1.5861151158922036E-2"/>
                </c:manualLayout>
              </c:layout>
              <c:dLblPos val="bestFit"/>
              <c:showLegendKey val="1"/>
              <c:showVal val="1"/>
              <c:showCatName val="1"/>
              <c:showSerName val="0"/>
              <c:showPercent val="0"/>
              <c:showBubbleSize val="0"/>
              <c:separator> </c:separator>
            </c:dLbl>
            <c:dLbl>
              <c:idx val="6"/>
              <c:layout>
                <c:manualLayout>
                  <c:x val="-1.3218688379455112E-2"/>
                  <c:y val="-6.2196221951129345E-2"/>
                </c:manualLayout>
              </c:layout>
              <c:dLblPos val="bestFit"/>
              <c:showLegendKey val="1"/>
              <c:showVal val="1"/>
              <c:showCatName val="1"/>
              <c:showSerName val="0"/>
              <c:showPercent val="0"/>
              <c:showBubbleSize val="0"/>
              <c:separator> </c:separator>
            </c:dLbl>
            <c:dLbl>
              <c:idx val="7"/>
              <c:layout>
                <c:manualLayout>
                  <c:x val="9.4928168050543941E-3"/>
                  <c:y val="-0.13421500129385236"/>
                </c:manualLayout>
              </c:layout>
              <c:showLegendKey val="1"/>
              <c:showVal val="1"/>
              <c:showCatName val="1"/>
              <c:showSerName val="0"/>
              <c:showPercent val="0"/>
              <c:showBubbleSize val="0"/>
              <c:separator> </c:separator>
            </c:dLbl>
            <c:dLbl>
              <c:idx val="8"/>
              <c:layout>
                <c:manualLayout>
                  <c:x val="0.15672913117546849"/>
                  <c:y val="-3.7558685446009391E-2"/>
                </c:manualLayout>
              </c:layout>
              <c:dLblPos val="bestFit"/>
              <c:showLegendKey val="1"/>
              <c:showVal val="1"/>
              <c:showCatName val="1"/>
              <c:showSerName val="0"/>
              <c:showPercent val="0"/>
              <c:showBubbleSize val="0"/>
              <c:separator> </c:separator>
            </c:dLbl>
            <c:dLbl>
              <c:idx val="9"/>
              <c:layout>
                <c:manualLayout>
                  <c:x val="7.4957410562180582E-2"/>
                  <c:y val="-2.8169014084507043E-2"/>
                </c:manualLayout>
              </c:layout>
              <c:dLblPos val="bestFit"/>
              <c:showLegendKey val="0"/>
              <c:showVal val="0"/>
              <c:showCatName val="1"/>
              <c:showSerName val="0"/>
              <c:showPercent val="0"/>
              <c:showBubbleSize val="0"/>
              <c:separator> </c:separator>
            </c:dLbl>
            <c:numFmt formatCode="0.0%" sourceLinked="0"/>
            <c:spPr>
              <a:ln>
                <a:noFill/>
              </a:ln>
            </c:spPr>
            <c:dLblPos val="outEnd"/>
            <c:showLegendKey val="1"/>
            <c:showVal val="1"/>
            <c:showCatName val="1"/>
            <c:showSerName val="0"/>
            <c:showPercent val="0"/>
            <c:showBubbleSize val="0"/>
            <c:separator> </c:separator>
            <c:showLeaderLines val="0"/>
          </c:dLbls>
          <c:cat>
            <c:strRef>
              <c:f>Sheet1!$B$1:$K$1</c:f>
              <c:strCache>
                <c:ptCount val="9"/>
                <c:pt idx="0">
                  <c:v>город Благовещенск</c:v>
                </c:pt>
                <c:pt idx="1">
                  <c:v>город Свободный</c:v>
                </c:pt>
                <c:pt idx="2">
                  <c:v>Благовещенский район</c:v>
                </c:pt>
                <c:pt idx="3">
                  <c:v>город Белогорск</c:v>
                </c:pt>
                <c:pt idx="4">
                  <c:v>Бурейский район</c:v>
                </c:pt>
                <c:pt idx="5">
                  <c:v>Серышевский район</c:v>
                </c:pt>
                <c:pt idx="6">
                  <c:v>Ивановский район</c:v>
                </c:pt>
                <c:pt idx="7">
                  <c:v>Архариснкий район</c:v>
                </c:pt>
                <c:pt idx="8">
                  <c:v>Прочие</c:v>
                </c:pt>
              </c:strCache>
            </c:strRef>
          </c:cat>
          <c:val>
            <c:numRef>
              <c:f>Sheet1!$B$2:$K$2</c:f>
              <c:numCache>
                <c:formatCode>0.00%</c:formatCode>
                <c:ptCount val="10"/>
                <c:pt idx="0">
                  <c:v>0.51885753309981708</c:v>
                </c:pt>
                <c:pt idx="1">
                  <c:v>0.12099332496199855</c:v>
                </c:pt>
                <c:pt idx="2">
                  <c:v>0.11266604983147183</c:v>
                </c:pt>
                <c:pt idx="3">
                  <c:v>2.9982596435573768E-2</c:v>
                </c:pt>
                <c:pt idx="4">
                  <c:v>1.9176965611437887E-2</c:v>
                </c:pt>
                <c:pt idx="5">
                  <c:v>1.6390192320401824E-2</c:v>
                </c:pt>
                <c:pt idx="6">
                  <c:v>1.5745819840063447E-2</c:v>
                </c:pt>
                <c:pt idx="7">
                  <c:v>1.7667922366884761E-2</c:v>
                </c:pt>
                <c:pt idx="8">
                  <c:v>0.14851959553235081</c:v>
                </c:pt>
              </c:numCache>
            </c:numRef>
          </c:val>
        </c:ser>
        <c:dLbls>
          <c:showLegendKey val="0"/>
          <c:showVal val="0"/>
          <c:showCatName val="0"/>
          <c:showSerName val="0"/>
          <c:showPercent val="1"/>
          <c:showBubbleSize val="0"/>
          <c:showLeaderLines val="0"/>
        </c:dLbls>
        <c:firstSliceAng val="0"/>
      </c:pieChart>
    </c:plotArea>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0.09527</cdr:x>
      <cdr:y>0.68515</cdr:y>
    </cdr:from>
    <cdr:to>
      <cdr:x>0.53277</cdr:x>
      <cdr:y>0.79278</cdr:y>
    </cdr:to>
    <cdr:sp macro="" textlink="">
      <cdr:nvSpPr>
        <cdr:cNvPr id="3" name="Прямоугольник 2"/>
        <cdr:cNvSpPr/>
      </cdr:nvSpPr>
      <cdr:spPr>
        <a:xfrm xmlns:a="http://schemas.openxmlformats.org/drawingml/2006/main">
          <a:off x="595285" y="2251494"/>
          <a:ext cx="2733675" cy="3536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ru-RU">
              <a:solidFill>
                <a:sysClr val="windowText" lastClr="000000"/>
              </a:solidFill>
              <a:latin typeface="Times New Roman" panose="02020603050405020304" pitchFamily="18" charset="0"/>
              <a:cs typeface="Times New Roman" panose="02020603050405020304" pitchFamily="18" charset="0"/>
            </a:rPr>
            <a:t>2016</a:t>
          </a:r>
        </a:p>
      </cdr:txBody>
    </cdr:sp>
  </cdr:relSizeAnchor>
  <cdr:relSizeAnchor xmlns:cdr="http://schemas.openxmlformats.org/drawingml/2006/chartDrawing">
    <cdr:from>
      <cdr:x>0.53441</cdr:x>
      <cdr:y>0.68515</cdr:y>
    </cdr:from>
    <cdr:to>
      <cdr:x>0.97191</cdr:x>
      <cdr:y>0.80591</cdr:y>
    </cdr:to>
    <cdr:sp macro="" textlink="">
      <cdr:nvSpPr>
        <cdr:cNvPr id="4" name="Прямоугольник 3"/>
        <cdr:cNvSpPr/>
      </cdr:nvSpPr>
      <cdr:spPr>
        <a:xfrm xmlns:a="http://schemas.openxmlformats.org/drawingml/2006/main">
          <a:off x="3339207" y="2251494"/>
          <a:ext cx="2733675" cy="3968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a:solidFill>
                <a:sysClr val="windowText" lastClr="000000"/>
              </a:solidFill>
              <a:latin typeface="Times New Roman" panose="02020603050405020304" pitchFamily="18" charset="0"/>
              <a:cs typeface="Times New Roman" panose="02020603050405020304" pitchFamily="18" charset="0"/>
            </a:rPr>
            <a:t>2017</a:t>
          </a:r>
        </a:p>
      </cdr:txBody>
    </cdr:sp>
  </cdr:relSizeAnchor>
</c:userShapes>
</file>

<file path=word/drawings/drawing2.xml><?xml version="1.0" encoding="utf-8"?>
<c:userShapes xmlns:c="http://schemas.openxmlformats.org/drawingml/2006/chart">
  <cdr:relSizeAnchor xmlns:cdr="http://schemas.openxmlformats.org/drawingml/2006/chartDrawing">
    <cdr:from>
      <cdr:x>0.20602</cdr:x>
      <cdr:y>0.01695</cdr:y>
    </cdr:from>
    <cdr:to>
      <cdr:x>0.80983</cdr:x>
      <cdr:y>0.03136</cdr:y>
    </cdr:to>
    <cdr:sp macro="" textlink="">
      <cdr:nvSpPr>
        <cdr:cNvPr id="2" name="TextBox 1"/>
        <cdr:cNvSpPr txBox="1"/>
      </cdr:nvSpPr>
      <cdr:spPr>
        <a:xfrm xmlns:a="http://schemas.openxmlformats.org/drawingml/2006/main">
          <a:off x="1234312" y="53762"/>
          <a:ext cx="3617562"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0.11024</cdr:x>
      <cdr:y>0.02245</cdr:y>
    </cdr:from>
    <cdr:to>
      <cdr:x>0.90394</cdr:x>
      <cdr:y>0.03912</cdr:y>
    </cdr:to>
    <cdr:sp macro="" textlink="">
      <cdr:nvSpPr>
        <cdr:cNvPr id="2" name="TextBox 1"/>
        <cdr:cNvSpPr txBox="1"/>
      </cdr:nvSpPr>
      <cdr:spPr>
        <a:xfrm xmlns:a="http://schemas.openxmlformats.org/drawingml/2006/main" flipV="1">
          <a:off x="664673" y="61595"/>
          <a:ext cx="478547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0.21195</cdr:x>
      <cdr:y>0.81942</cdr:y>
    </cdr:from>
    <cdr:to>
      <cdr:x>0.30223</cdr:x>
      <cdr:y>0.90871</cdr:y>
    </cdr:to>
    <cdr:sp macro="" textlink="">
      <cdr:nvSpPr>
        <cdr:cNvPr id="2" name="Прямоугольник 1"/>
        <cdr:cNvSpPr/>
      </cdr:nvSpPr>
      <cdr:spPr>
        <a:xfrm xmlns:a="http://schemas.openxmlformats.org/drawingml/2006/main">
          <a:off x="1304185" y="2653686"/>
          <a:ext cx="555506" cy="28916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latin typeface="Times New Roman" panose="02020603050405020304" pitchFamily="18" charset="0"/>
              <a:cs typeface="Times New Roman" panose="02020603050405020304" pitchFamily="18" charset="0"/>
            </a:rPr>
            <a:t>2016</a:t>
          </a:r>
        </a:p>
        <a:p xmlns:a="http://schemas.openxmlformats.org/drawingml/2006/main">
          <a:endParaRPr lang="ru-RU">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0.14988</cdr:x>
      <cdr:y>0.69444</cdr:y>
    </cdr:from>
    <cdr:to>
      <cdr:x>0.24016</cdr:x>
      <cdr:y>0.78373</cdr:y>
    </cdr:to>
    <cdr:sp macro="" textlink="">
      <cdr:nvSpPr>
        <cdr:cNvPr id="3" name="Прямоугольник 2"/>
        <cdr:cNvSpPr/>
      </cdr:nvSpPr>
      <cdr:spPr>
        <a:xfrm xmlns:a="http://schemas.openxmlformats.org/drawingml/2006/main">
          <a:off x="822325" y="2222500"/>
          <a:ext cx="495300" cy="285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dr:relSizeAnchor xmlns:cdr="http://schemas.openxmlformats.org/drawingml/2006/chartDrawing">
    <cdr:from>
      <cdr:x>0.2853</cdr:x>
      <cdr:y>0.84623</cdr:y>
    </cdr:from>
    <cdr:to>
      <cdr:x>0.37558</cdr:x>
      <cdr:y>0.93552</cdr:y>
    </cdr:to>
    <cdr:sp macro="" textlink="">
      <cdr:nvSpPr>
        <cdr:cNvPr id="4" name="Прямоугольник 3"/>
        <cdr:cNvSpPr/>
      </cdr:nvSpPr>
      <cdr:spPr>
        <a:xfrm xmlns:a="http://schemas.openxmlformats.org/drawingml/2006/main">
          <a:off x="1565275" y="2708275"/>
          <a:ext cx="495300" cy="2857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17EC-A3B3-432A-9A25-D076058B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130</Pages>
  <Words>60106</Words>
  <Characters>342609</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50</cp:revision>
  <cp:lastPrinted>2018-06-14T09:10:00Z</cp:lastPrinted>
  <dcterms:created xsi:type="dcterms:W3CDTF">2018-06-08T06:07:00Z</dcterms:created>
  <dcterms:modified xsi:type="dcterms:W3CDTF">2018-06-18T00:58:00Z</dcterms:modified>
</cp:coreProperties>
</file>