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B7" w:rsidRPr="005443D6" w:rsidRDefault="002A5B68" w:rsidP="001559B7">
      <w:pPr>
        <w:spacing w:after="120"/>
        <w:ind w:firstLine="763"/>
        <w:jc w:val="center"/>
        <w:rPr>
          <w:bCs/>
          <w:sz w:val="26"/>
          <w:szCs w:val="26"/>
        </w:rPr>
      </w:pPr>
      <w:r w:rsidRPr="005443D6">
        <w:rPr>
          <w:sz w:val="26"/>
          <w:szCs w:val="26"/>
        </w:rPr>
        <w:t xml:space="preserve">Информация о принятых мерах по итогам контрольного мероприятия, </w:t>
      </w:r>
      <w:r w:rsidR="001559B7" w:rsidRPr="005443D6">
        <w:rPr>
          <w:sz w:val="26"/>
          <w:szCs w:val="26"/>
        </w:rPr>
        <w:br/>
      </w:r>
      <w:r w:rsidRPr="005443D6">
        <w:rPr>
          <w:sz w:val="26"/>
          <w:szCs w:val="26"/>
        </w:rPr>
        <w:t>проведенного в</w:t>
      </w:r>
      <w:r w:rsidR="001559B7" w:rsidRPr="005443D6">
        <w:rPr>
          <w:sz w:val="26"/>
          <w:szCs w:val="26"/>
        </w:rPr>
        <w:t xml:space="preserve"> </w:t>
      </w:r>
      <w:r w:rsidR="00CA470B" w:rsidRPr="005443D6">
        <w:rPr>
          <w:bCs/>
          <w:sz w:val="26"/>
          <w:szCs w:val="26"/>
        </w:rPr>
        <w:t xml:space="preserve">министерстве имущественных отношений </w:t>
      </w:r>
      <w:r w:rsidR="001559B7" w:rsidRPr="005443D6">
        <w:rPr>
          <w:bCs/>
          <w:sz w:val="26"/>
          <w:szCs w:val="26"/>
        </w:rPr>
        <w:t xml:space="preserve">Амурской области </w:t>
      </w:r>
      <w:r w:rsidR="001559B7" w:rsidRPr="005443D6">
        <w:rPr>
          <w:bCs/>
          <w:sz w:val="26"/>
          <w:szCs w:val="26"/>
        </w:rPr>
        <w:br/>
      </w:r>
    </w:p>
    <w:p w:rsidR="009709E8" w:rsidRPr="005443D6" w:rsidRDefault="00AB6D67" w:rsidP="00D21623">
      <w:pPr>
        <w:spacing w:after="40"/>
        <w:ind w:firstLine="709"/>
        <w:jc w:val="both"/>
        <w:rPr>
          <w:sz w:val="26"/>
          <w:szCs w:val="26"/>
        </w:rPr>
      </w:pPr>
      <w:proofErr w:type="gramStart"/>
      <w:r w:rsidRPr="005443D6">
        <w:rPr>
          <w:sz w:val="26"/>
          <w:szCs w:val="26"/>
        </w:rPr>
        <w:t xml:space="preserve">В соответствии с планом работы контрольно-счетной палаты Амурской области </w:t>
      </w:r>
      <w:r w:rsidR="001559B7" w:rsidRPr="005443D6">
        <w:rPr>
          <w:sz w:val="26"/>
          <w:szCs w:val="26"/>
        </w:rPr>
        <w:br/>
      </w:r>
      <w:r w:rsidR="000254F4" w:rsidRPr="005443D6">
        <w:rPr>
          <w:sz w:val="26"/>
          <w:szCs w:val="26"/>
        </w:rPr>
        <w:t>на 20</w:t>
      </w:r>
      <w:r w:rsidR="00C77B78" w:rsidRPr="005443D6">
        <w:rPr>
          <w:sz w:val="26"/>
          <w:szCs w:val="26"/>
        </w:rPr>
        <w:t>2</w:t>
      </w:r>
      <w:r w:rsidR="00DB6B3D" w:rsidRPr="005443D6">
        <w:rPr>
          <w:sz w:val="26"/>
          <w:szCs w:val="26"/>
        </w:rPr>
        <w:t>3</w:t>
      </w:r>
      <w:r w:rsidR="000254F4" w:rsidRPr="005443D6">
        <w:rPr>
          <w:sz w:val="26"/>
          <w:szCs w:val="26"/>
        </w:rPr>
        <w:t xml:space="preserve"> год, утвержденным решением </w:t>
      </w:r>
      <w:r w:rsidR="001559B7" w:rsidRPr="005443D6">
        <w:rPr>
          <w:sz w:val="26"/>
          <w:szCs w:val="26"/>
        </w:rPr>
        <w:t>К</w:t>
      </w:r>
      <w:r w:rsidR="000254F4" w:rsidRPr="005443D6">
        <w:rPr>
          <w:sz w:val="26"/>
          <w:szCs w:val="26"/>
        </w:rPr>
        <w:t xml:space="preserve">оллегии контрольно-счетной палаты Амурской </w:t>
      </w:r>
      <w:r w:rsidR="001559B7" w:rsidRPr="005443D6">
        <w:rPr>
          <w:sz w:val="26"/>
          <w:szCs w:val="26"/>
        </w:rPr>
        <w:br/>
      </w:r>
      <w:r w:rsidR="000254F4" w:rsidRPr="005443D6">
        <w:rPr>
          <w:sz w:val="26"/>
          <w:szCs w:val="26"/>
        </w:rPr>
        <w:t xml:space="preserve">области  от </w:t>
      </w:r>
      <w:r w:rsidR="00DB6B3D" w:rsidRPr="005443D6">
        <w:rPr>
          <w:sz w:val="26"/>
          <w:szCs w:val="26"/>
        </w:rPr>
        <w:t>14</w:t>
      </w:r>
      <w:r w:rsidR="000254F4" w:rsidRPr="005443D6">
        <w:rPr>
          <w:sz w:val="26"/>
          <w:szCs w:val="26"/>
        </w:rPr>
        <w:t>.12.20</w:t>
      </w:r>
      <w:r w:rsidR="006D7CEE" w:rsidRPr="005443D6">
        <w:rPr>
          <w:sz w:val="26"/>
          <w:szCs w:val="26"/>
        </w:rPr>
        <w:t>2</w:t>
      </w:r>
      <w:r w:rsidR="00DB6B3D" w:rsidRPr="005443D6">
        <w:rPr>
          <w:sz w:val="26"/>
          <w:szCs w:val="26"/>
        </w:rPr>
        <w:t>2</w:t>
      </w:r>
      <w:r w:rsidR="00C77B78" w:rsidRPr="005443D6">
        <w:rPr>
          <w:sz w:val="26"/>
          <w:szCs w:val="26"/>
        </w:rPr>
        <w:t xml:space="preserve"> (</w:t>
      </w:r>
      <w:r w:rsidR="00214E6C" w:rsidRPr="005443D6">
        <w:rPr>
          <w:sz w:val="26"/>
          <w:szCs w:val="26"/>
        </w:rPr>
        <w:t xml:space="preserve">пункт </w:t>
      </w:r>
      <w:r w:rsidR="007179B0" w:rsidRPr="005443D6">
        <w:rPr>
          <w:sz w:val="26"/>
          <w:szCs w:val="26"/>
        </w:rPr>
        <w:t>2.27</w:t>
      </w:r>
      <w:r w:rsidR="00C77B78" w:rsidRPr="005443D6">
        <w:rPr>
          <w:sz w:val="26"/>
          <w:szCs w:val="26"/>
        </w:rPr>
        <w:t>)</w:t>
      </w:r>
      <w:r w:rsidR="00705D30" w:rsidRPr="005443D6">
        <w:rPr>
          <w:sz w:val="26"/>
          <w:szCs w:val="26"/>
        </w:rPr>
        <w:t>,</w:t>
      </w:r>
      <w:r w:rsidR="00A67084" w:rsidRPr="005443D6">
        <w:rPr>
          <w:sz w:val="26"/>
          <w:szCs w:val="26"/>
        </w:rPr>
        <w:t xml:space="preserve"> </w:t>
      </w:r>
      <w:r w:rsidR="006A48BA" w:rsidRPr="005443D6">
        <w:rPr>
          <w:sz w:val="26"/>
          <w:szCs w:val="26"/>
        </w:rPr>
        <w:t xml:space="preserve">в период </w:t>
      </w:r>
      <w:r w:rsidR="00EC597C" w:rsidRPr="005443D6">
        <w:rPr>
          <w:sz w:val="26"/>
          <w:szCs w:val="26"/>
        </w:rPr>
        <w:t xml:space="preserve">с </w:t>
      </w:r>
      <w:r w:rsidR="00F60BF4" w:rsidRPr="005443D6">
        <w:rPr>
          <w:sz w:val="26"/>
          <w:szCs w:val="26"/>
        </w:rPr>
        <w:t>13.11.2023 по 14.12.2023</w:t>
      </w:r>
      <w:r w:rsidR="001559B7" w:rsidRPr="005443D6">
        <w:rPr>
          <w:sz w:val="26"/>
          <w:szCs w:val="26"/>
        </w:rPr>
        <w:t xml:space="preserve"> </w:t>
      </w:r>
      <w:r w:rsidR="004822E2" w:rsidRPr="005443D6">
        <w:rPr>
          <w:sz w:val="26"/>
          <w:szCs w:val="26"/>
        </w:rPr>
        <w:t>пров</w:t>
      </w:r>
      <w:r w:rsidR="006A48BA" w:rsidRPr="005443D6">
        <w:rPr>
          <w:sz w:val="26"/>
          <w:szCs w:val="26"/>
        </w:rPr>
        <w:t xml:space="preserve">едено </w:t>
      </w:r>
      <w:r w:rsidR="00112316" w:rsidRPr="005443D6">
        <w:rPr>
          <w:sz w:val="26"/>
          <w:szCs w:val="26"/>
        </w:rPr>
        <w:t xml:space="preserve">контрольное мероприятие </w:t>
      </w:r>
      <w:r w:rsidR="00CA5B12" w:rsidRPr="005443D6">
        <w:rPr>
          <w:sz w:val="26"/>
          <w:szCs w:val="26"/>
        </w:rPr>
        <w:t>«</w:t>
      </w:r>
      <w:r w:rsidR="00F60BF4" w:rsidRPr="005443D6">
        <w:rPr>
          <w:rFonts w:eastAsia="Calibri"/>
          <w:sz w:val="26"/>
          <w:szCs w:val="26"/>
          <w:lang w:eastAsia="en-US"/>
        </w:rPr>
        <w:t xml:space="preserve">Проверка </w:t>
      </w:r>
      <w:r w:rsidR="00F60BF4" w:rsidRPr="005443D6">
        <w:rPr>
          <w:sz w:val="26"/>
          <w:szCs w:val="26"/>
        </w:rPr>
        <w:t xml:space="preserve">министерства имущественных отношений Амурской области по вопросу эффективности реализации полномочий администратора доходов, получаемых в виде арендной платы, а также средств от продажи </w:t>
      </w:r>
      <w:r w:rsidR="00B4601E" w:rsidRPr="005443D6">
        <w:rPr>
          <w:sz w:val="26"/>
          <w:szCs w:val="26"/>
        </w:rPr>
        <w:br/>
      </w:r>
      <w:r w:rsidR="00F60BF4" w:rsidRPr="005443D6">
        <w:rPr>
          <w:sz w:val="26"/>
          <w:szCs w:val="26"/>
        </w:rPr>
        <w:t>права на заключение договоров аренды</w:t>
      </w:r>
      <w:proofErr w:type="gramEnd"/>
      <w:r w:rsidR="00F60BF4" w:rsidRPr="005443D6">
        <w:rPr>
          <w:sz w:val="26"/>
          <w:szCs w:val="26"/>
        </w:rPr>
        <w:t xml:space="preserve"> за земли, находящиеся в собственности Амурской области, за 2022 год</w:t>
      </w:r>
      <w:r w:rsidR="00CA5B12" w:rsidRPr="005443D6">
        <w:rPr>
          <w:sz w:val="26"/>
          <w:szCs w:val="26"/>
        </w:rPr>
        <w:t>»</w:t>
      </w:r>
      <w:r w:rsidR="006D7CEE" w:rsidRPr="005443D6">
        <w:rPr>
          <w:sz w:val="26"/>
          <w:szCs w:val="26"/>
        </w:rPr>
        <w:t xml:space="preserve">. </w:t>
      </w:r>
      <w:bookmarkStart w:id="0" w:name="_GoBack"/>
      <w:bookmarkEnd w:id="0"/>
    </w:p>
    <w:p w:rsidR="006D7CEE" w:rsidRPr="005443D6" w:rsidRDefault="006A48BA" w:rsidP="00D21623">
      <w:pPr>
        <w:spacing w:after="40"/>
        <w:ind w:firstLine="709"/>
        <w:jc w:val="both"/>
        <w:rPr>
          <w:sz w:val="26"/>
          <w:szCs w:val="26"/>
        </w:rPr>
      </w:pPr>
      <w:r w:rsidRPr="005443D6">
        <w:rPr>
          <w:sz w:val="26"/>
          <w:szCs w:val="26"/>
        </w:rPr>
        <w:t xml:space="preserve">По итогам контрольного мероприятия </w:t>
      </w:r>
      <w:r w:rsidR="009709E8" w:rsidRPr="005443D6">
        <w:rPr>
          <w:sz w:val="26"/>
          <w:szCs w:val="26"/>
        </w:rPr>
        <w:t xml:space="preserve">в адрес </w:t>
      </w:r>
      <w:r w:rsidR="001E30C6" w:rsidRPr="005443D6">
        <w:rPr>
          <w:sz w:val="26"/>
          <w:szCs w:val="26"/>
        </w:rPr>
        <w:t>министерства имущественных отношений Амурской области</w:t>
      </w:r>
      <w:r w:rsidR="009709E8" w:rsidRPr="005443D6">
        <w:rPr>
          <w:sz w:val="26"/>
          <w:szCs w:val="26"/>
        </w:rPr>
        <w:t xml:space="preserve"> (далее – </w:t>
      </w:r>
      <w:r w:rsidR="001E30C6" w:rsidRPr="005443D6">
        <w:rPr>
          <w:sz w:val="26"/>
          <w:szCs w:val="26"/>
        </w:rPr>
        <w:t>Министерства</w:t>
      </w:r>
      <w:r w:rsidR="009709E8" w:rsidRPr="005443D6">
        <w:rPr>
          <w:sz w:val="26"/>
          <w:szCs w:val="26"/>
        </w:rPr>
        <w:t xml:space="preserve">) </w:t>
      </w:r>
      <w:r w:rsidR="001559B7" w:rsidRPr="005443D6">
        <w:rPr>
          <w:sz w:val="26"/>
          <w:szCs w:val="26"/>
        </w:rPr>
        <w:t>направлено П</w:t>
      </w:r>
      <w:r w:rsidRPr="005443D6">
        <w:rPr>
          <w:sz w:val="26"/>
          <w:szCs w:val="26"/>
        </w:rPr>
        <w:t>редставление</w:t>
      </w:r>
      <w:r w:rsidR="00F43776" w:rsidRPr="005443D6">
        <w:rPr>
          <w:sz w:val="26"/>
          <w:szCs w:val="26"/>
        </w:rPr>
        <w:t>.</w:t>
      </w:r>
    </w:p>
    <w:p w:rsidR="006C1B46" w:rsidRPr="005443D6" w:rsidRDefault="00D21623" w:rsidP="004B129E">
      <w:pPr>
        <w:ind w:firstLine="709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5443D6">
        <w:rPr>
          <w:sz w:val="26"/>
          <w:szCs w:val="26"/>
        </w:rPr>
        <w:t>В адрес контрольно-с</w:t>
      </w:r>
      <w:r w:rsidR="006C1B46" w:rsidRPr="005443D6">
        <w:rPr>
          <w:sz w:val="26"/>
          <w:szCs w:val="26"/>
        </w:rPr>
        <w:t>четной палаты Амурской области 19.02</w:t>
      </w:r>
      <w:r w:rsidRPr="005443D6">
        <w:rPr>
          <w:sz w:val="26"/>
          <w:szCs w:val="26"/>
        </w:rPr>
        <w:t>.202</w:t>
      </w:r>
      <w:r w:rsidR="006C1B46" w:rsidRPr="005443D6">
        <w:rPr>
          <w:sz w:val="26"/>
          <w:szCs w:val="26"/>
        </w:rPr>
        <w:t>4</w:t>
      </w:r>
      <w:r w:rsidRPr="005443D6">
        <w:rPr>
          <w:sz w:val="26"/>
          <w:szCs w:val="26"/>
        </w:rPr>
        <w:t xml:space="preserve"> поступила информация </w:t>
      </w:r>
      <w:r w:rsidR="006C1B46" w:rsidRPr="005443D6">
        <w:rPr>
          <w:sz w:val="26"/>
          <w:szCs w:val="26"/>
        </w:rPr>
        <w:t>Министерства</w:t>
      </w:r>
      <w:r w:rsidRPr="005443D6">
        <w:rPr>
          <w:sz w:val="26"/>
          <w:szCs w:val="26"/>
        </w:rPr>
        <w:t xml:space="preserve"> об исполнении </w:t>
      </w:r>
      <w:r w:rsidR="004B129E" w:rsidRPr="005443D6">
        <w:rPr>
          <w:sz w:val="26"/>
          <w:szCs w:val="26"/>
        </w:rPr>
        <w:t>отдельных</w:t>
      </w:r>
      <w:r w:rsidRPr="005443D6">
        <w:rPr>
          <w:sz w:val="26"/>
          <w:szCs w:val="26"/>
        </w:rPr>
        <w:t xml:space="preserve"> пунктов</w:t>
      </w:r>
      <w:r w:rsidR="006C1B46" w:rsidRPr="005443D6">
        <w:rPr>
          <w:sz w:val="26"/>
          <w:szCs w:val="26"/>
        </w:rPr>
        <w:t xml:space="preserve"> Представления</w:t>
      </w:r>
      <w:r w:rsidRPr="005443D6">
        <w:rPr>
          <w:sz w:val="26"/>
          <w:szCs w:val="26"/>
        </w:rPr>
        <w:t xml:space="preserve">, согласно которой </w:t>
      </w:r>
      <w:r w:rsidR="001559B7" w:rsidRPr="005443D6">
        <w:rPr>
          <w:rFonts w:eastAsia="Calibri"/>
          <w:bCs/>
          <w:iCs/>
          <w:sz w:val="26"/>
          <w:szCs w:val="26"/>
          <w:lang w:eastAsia="en-US"/>
        </w:rPr>
        <w:t>в целях устранения выявленных нарушений и недостатков и недопущения</w:t>
      </w:r>
      <w:r w:rsidR="007179B0" w:rsidRPr="005443D6">
        <w:rPr>
          <w:rFonts w:eastAsia="Calibri"/>
          <w:bCs/>
          <w:iCs/>
          <w:sz w:val="26"/>
          <w:szCs w:val="26"/>
          <w:lang w:eastAsia="en-US"/>
        </w:rPr>
        <w:br/>
      </w:r>
      <w:r w:rsidR="001559B7" w:rsidRPr="005443D6">
        <w:rPr>
          <w:rFonts w:eastAsia="Calibri"/>
          <w:bCs/>
          <w:iCs/>
          <w:sz w:val="26"/>
          <w:szCs w:val="26"/>
          <w:lang w:eastAsia="en-US"/>
        </w:rPr>
        <w:t xml:space="preserve">их в дальнейшей работе </w:t>
      </w:r>
      <w:r w:rsidR="006C1B46" w:rsidRPr="005443D6">
        <w:rPr>
          <w:rFonts w:eastAsia="Calibri"/>
          <w:bCs/>
          <w:iCs/>
          <w:sz w:val="26"/>
          <w:szCs w:val="26"/>
          <w:lang w:eastAsia="en-US"/>
        </w:rPr>
        <w:t>Министерством</w:t>
      </w:r>
      <w:r w:rsidR="001559B7" w:rsidRPr="005443D6">
        <w:rPr>
          <w:rFonts w:eastAsia="Calibri"/>
          <w:bCs/>
          <w:iCs/>
          <w:sz w:val="26"/>
          <w:szCs w:val="26"/>
          <w:lang w:eastAsia="en-US"/>
        </w:rPr>
        <w:t xml:space="preserve"> приняты следующие меры:</w:t>
      </w:r>
      <w:r w:rsidR="0063341B" w:rsidRPr="005443D6">
        <w:rPr>
          <w:rFonts w:eastAsia="Calibri"/>
          <w:bCs/>
          <w:iCs/>
          <w:sz w:val="26"/>
          <w:szCs w:val="26"/>
          <w:lang w:eastAsia="en-US"/>
        </w:rPr>
        <w:t xml:space="preserve"> </w:t>
      </w:r>
    </w:p>
    <w:p w:rsidR="0097711B" w:rsidRPr="005443D6" w:rsidRDefault="00B7340E" w:rsidP="004B129E">
      <w:pPr>
        <w:tabs>
          <w:tab w:val="left" w:pos="567"/>
          <w:tab w:val="left" w:pos="993"/>
          <w:tab w:val="left" w:pos="1134"/>
        </w:tabs>
        <w:ind w:right="-2" w:firstLine="709"/>
        <w:jc w:val="both"/>
        <w:rPr>
          <w:sz w:val="26"/>
          <w:szCs w:val="26"/>
        </w:rPr>
      </w:pPr>
      <w:r w:rsidRPr="005443D6">
        <w:rPr>
          <w:rFonts w:eastAsia="Calibri"/>
          <w:sz w:val="26"/>
          <w:szCs w:val="26"/>
          <w:lang w:eastAsia="en-US"/>
        </w:rPr>
        <w:t>-внесены изменения в п</w:t>
      </w:r>
      <w:r w:rsidR="0097711B" w:rsidRPr="005443D6">
        <w:rPr>
          <w:rFonts w:eastAsia="Calibri"/>
          <w:sz w:val="26"/>
          <w:szCs w:val="26"/>
          <w:lang w:eastAsia="en-US"/>
        </w:rPr>
        <w:t>орядок осуществления Министерством бюджетных полномочий администра</w:t>
      </w:r>
      <w:r w:rsidR="00477854" w:rsidRPr="005443D6">
        <w:rPr>
          <w:rFonts w:eastAsia="Calibri"/>
          <w:sz w:val="26"/>
          <w:szCs w:val="26"/>
          <w:lang w:eastAsia="en-US"/>
        </w:rPr>
        <w:t>тора доходов областного бюджета</w:t>
      </w:r>
      <w:r w:rsidRPr="005443D6">
        <w:rPr>
          <w:rFonts w:eastAsia="Calibri"/>
          <w:sz w:val="26"/>
          <w:szCs w:val="26"/>
          <w:lang w:eastAsia="en-US"/>
        </w:rPr>
        <w:t>;</w:t>
      </w:r>
    </w:p>
    <w:p w:rsidR="001F01E9" w:rsidRPr="005443D6" w:rsidRDefault="00B7340E" w:rsidP="004B129E">
      <w:pPr>
        <w:ind w:firstLine="709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5443D6">
        <w:rPr>
          <w:rFonts w:eastAsia="Calibri"/>
          <w:bCs/>
          <w:iCs/>
          <w:sz w:val="26"/>
          <w:szCs w:val="26"/>
          <w:lang w:eastAsia="en-US"/>
        </w:rPr>
        <w:t>-</w:t>
      </w:r>
      <w:r w:rsidR="001F01E9" w:rsidRPr="005443D6">
        <w:rPr>
          <w:rFonts w:eastAsia="Calibri"/>
          <w:bCs/>
          <w:iCs/>
          <w:sz w:val="26"/>
          <w:szCs w:val="26"/>
          <w:lang w:eastAsia="en-US"/>
        </w:rPr>
        <w:t>в рамках вн</w:t>
      </w:r>
      <w:r w:rsidR="00477854" w:rsidRPr="005443D6">
        <w:rPr>
          <w:rFonts w:eastAsia="Calibri"/>
          <w:bCs/>
          <w:iCs/>
          <w:sz w:val="26"/>
          <w:szCs w:val="26"/>
          <w:lang w:eastAsia="en-US"/>
        </w:rPr>
        <w:t>есения изменений в действующую у</w:t>
      </w:r>
      <w:r w:rsidR="001F01E9" w:rsidRPr="005443D6">
        <w:rPr>
          <w:rFonts w:eastAsia="Calibri"/>
          <w:bCs/>
          <w:iCs/>
          <w:sz w:val="26"/>
          <w:szCs w:val="26"/>
          <w:lang w:eastAsia="en-US"/>
        </w:rPr>
        <w:t xml:space="preserve">четную политику, изложен </w:t>
      </w:r>
      <w:r w:rsidR="00D657CD" w:rsidRPr="005443D6">
        <w:rPr>
          <w:rFonts w:eastAsia="Calibri"/>
          <w:bCs/>
          <w:iCs/>
          <w:sz w:val="26"/>
          <w:szCs w:val="26"/>
          <w:lang w:eastAsia="en-US"/>
        </w:rPr>
        <w:br/>
      </w:r>
      <w:r w:rsidR="001F01E9" w:rsidRPr="005443D6">
        <w:rPr>
          <w:rFonts w:eastAsia="Calibri"/>
          <w:bCs/>
          <w:iCs/>
          <w:sz w:val="26"/>
          <w:szCs w:val="26"/>
          <w:lang w:eastAsia="en-US"/>
        </w:rPr>
        <w:t xml:space="preserve">в новой редакции </w:t>
      </w:r>
      <w:r w:rsidR="004A7D6F" w:rsidRPr="005443D6">
        <w:rPr>
          <w:rFonts w:eastAsia="Calibri"/>
          <w:bCs/>
          <w:iCs/>
          <w:sz w:val="26"/>
          <w:szCs w:val="26"/>
          <w:lang w:eastAsia="en-US"/>
        </w:rPr>
        <w:t>график документооборота</w:t>
      </w:r>
      <w:r w:rsidR="001F01E9" w:rsidRPr="005443D6">
        <w:rPr>
          <w:rFonts w:eastAsia="Calibri"/>
          <w:bCs/>
          <w:iCs/>
          <w:sz w:val="26"/>
          <w:szCs w:val="26"/>
          <w:lang w:eastAsia="en-US"/>
        </w:rPr>
        <w:t>;</w:t>
      </w:r>
    </w:p>
    <w:p w:rsidR="001F01E9" w:rsidRPr="005443D6" w:rsidRDefault="001F01E9" w:rsidP="004B129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43D6">
        <w:rPr>
          <w:rFonts w:eastAsia="Calibri"/>
          <w:bCs/>
          <w:iCs/>
          <w:sz w:val="26"/>
          <w:szCs w:val="26"/>
          <w:lang w:eastAsia="en-US"/>
        </w:rPr>
        <w:t xml:space="preserve">-действующая </w:t>
      </w:r>
      <w:r w:rsidR="00477854" w:rsidRPr="005443D6">
        <w:rPr>
          <w:rFonts w:eastAsia="Calibri"/>
          <w:bCs/>
          <w:iCs/>
          <w:sz w:val="26"/>
          <w:szCs w:val="26"/>
          <w:lang w:eastAsia="en-US"/>
        </w:rPr>
        <w:t>у</w:t>
      </w:r>
      <w:r w:rsidRPr="005443D6">
        <w:rPr>
          <w:bCs/>
          <w:iCs/>
          <w:sz w:val="26"/>
          <w:szCs w:val="26"/>
        </w:rPr>
        <w:t xml:space="preserve">четная политика Министерства дополнена </w:t>
      </w:r>
      <w:r w:rsidRPr="005443D6">
        <w:rPr>
          <w:sz w:val="26"/>
          <w:szCs w:val="26"/>
          <w:shd w:val="clear" w:color="auto" w:fill="FFFFFF"/>
        </w:rPr>
        <w:t xml:space="preserve">утвержденными </w:t>
      </w:r>
      <w:r w:rsidRPr="005443D6">
        <w:rPr>
          <w:rFonts w:eastAsia="Calibri"/>
          <w:sz w:val="26"/>
          <w:szCs w:val="26"/>
          <w:lang w:eastAsia="en-US"/>
        </w:rPr>
        <w:t xml:space="preserve">формами регистров бухгалтерского учета, в том числе связанных с заключением </w:t>
      </w:r>
      <w:r w:rsidR="00477854" w:rsidRPr="005443D6">
        <w:rPr>
          <w:rFonts w:eastAsia="Calibri"/>
          <w:sz w:val="26"/>
          <w:szCs w:val="26"/>
          <w:lang w:eastAsia="en-US"/>
        </w:rPr>
        <w:br/>
      </w:r>
      <w:r w:rsidRPr="005443D6">
        <w:rPr>
          <w:rFonts w:eastAsia="Calibri"/>
          <w:sz w:val="26"/>
          <w:szCs w:val="26"/>
          <w:lang w:eastAsia="en-US"/>
        </w:rPr>
        <w:t>и расторжением договоров аренды земельных участков;</w:t>
      </w:r>
    </w:p>
    <w:p w:rsidR="00950FFC" w:rsidRPr="005443D6" w:rsidRDefault="001F01E9" w:rsidP="004B129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43D6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="00950FFC" w:rsidRPr="005443D6">
        <w:rPr>
          <w:rFonts w:eastAsia="Calibri"/>
          <w:bCs/>
          <w:iCs/>
          <w:sz w:val="26"/>
          <w:szCs w:val="26"/>
          <w:lang w:eastAsia="en-US"/>
        </w:rPr>
        <w:t>-</w:t>
      </w:r>
      <w:r w:rsidR="00477854" w:rsidRPr="005443D6">
        <w:rPr>
          <w:rFonts w:eastAsia="Calibri"/>
          <w:bCs/>
          <w:iCs/>
          <w:sz w:val="26"/>
          <w:szCs w:val="26"/>
          <w:lang w:eastAsia="en-US"/>
        </w:rPr>
        <w:t>п</w:t>
      </w:r>
      <w:r w:rsidR="006D29E6" w:rsidRPr="005443D6">
        <w:rPr>
          <w:rFonts w:eastAsia="Calibri"/>
          <w:bCs/>
          <w:iCs/>
          <w:sz w:val="26"/>
          <w:szCs w:val="26"/>
          <w:lang w:eastAsia="en-US"/>
        </w:rPr>
        <w:t xml:space="preserve">риказом Министерства </w:t>
      </w:r>
      <w:r w:rsidR="00950FFC" w:rsidRPr="005443D6">
        <w:rPr>
          <w:rFonts w:eastAsia="Calibri"/>
          <w:bCs/>
          <w:iCs/>
          <w:sz w:val="26"/>
          <w:szCs w:val="26"/>
          <w:lang w:eastAsia="en-US"/>
        </w:rPr>
        <w:t>утвержден</w:t>
      </w:r>
      <w:r w:rsidR="006D29E6" w:rsidRPr="005443D6">
        <w:rPr>
          <w:rFonts w:eastAsia="Calibri"/>
          <w:bCs/>
          <w:iCs/>
          <w:sz w:val="26"/>
          <w:szCs w:val="26"/>
          <w:lang w:eastAsia="en-US"/>
        </w:rPr>
        <w:t xml:space="preserve">ы: </w:t>
      </w:r>
      <w:r w:rsidR="00477854" w:rsidRPr="005443D6">
        <w:rPr>
          <w:rFonts w:eastAsia="Calibri"/>
          <w:bCs/>
          <w:iCs/>
          <w:sz w:val="26"/>
          <w:szCs w:val="26"/>
          <w:lang w:eastAsia="en-US"/>
        </w:rPr>
        <w:t>п</w:t>
      </w:r>
      <w:r w:rsidR="00950FFC" w:rsidRPr="005443D6">
        <w:rPr>
          <w:rFonts w:eastAsia="Calibri"/>
          <w:sz w:val="26"/>
          <w:szCs w:val="26"/>
          <w:lang w:eastAsia="en-US"/>
        </w:rPr>
        <w:t>орядок принятия решений о признании безнадежной к взысканию задолженности</w:t>
      </w:r>
      <w:r w:rsidR="006D29E6" w:rsidRPr="005443D6">
        <w:rPr>
          <w:rFonts w:eastAsia="Calibri"/>
          <w:sz w:val="26"/>
          <w:szCs w:val="26"/>
          <w:lang w:eastAsia="en-US"/>
        </w:rPr>
        <w:t xml:space="preserve"> и </w:t>
      </w:r>
      <w:r w:rsidR="00477854" w:rsidRPr="005443D6">
        <w:rPr>
          <w:rFonts w:eastAsia="Calibri"/>
          <w:sz w:val="26"/>
          <w:szCs w:val="26"/>
          <w:lang w:eastAsia="en-US"/>
        </w:rPr>
        <w:t>п</w:t>
      </w:r>
      <w:r w:rsidR="006D29E6" w:rsidRPr="005443D6">
        <w:rPr>
          <w:sz w:val="26"/>
          <w:szCs w:val="26"/>
        </w:rPr>
        <w:t>орядок принятия решений о признании сомнительной дебиторской задолженности</w:t>
      </w:r>
      <w:r w:rsidR="006D29E6" w:rsidRPr="005443D6">
        <w:rPr>
          <w:rFonts w:eastAsia="Calibri"/>
          <w:sz w:val="26"/>
          <w:szCs w:val="26"/>
          <w:lang w:eastAsia="en-US"/>
        </w:rPr>
        <w:t xml:space="preserve"> по платежам в бюджет Амурской области</w:t>
      </w:r>
      <w:r w:rsidR="00D17309" w:rsidRPr="005443D6">
        <w:rPr>
          <w:rFonts w:eastAsia="Calibri"/>
          <w:sz w:val="26"/>
          <w:szCs w:val="26"/>
          <w:lang w:eastAsia="en-US"/>
        </w:rPr>
        <w:t>.</w:t>
      </w:r>
    </w:p>
    <w:p w:rsidR="0063341B" w:rsidRPr="005443D6" w:rsidRDefault="00D21623" w:rsidP="00D21623">
      <w:pPr>
        <w:ind w:firstLine="709"/>
        <w:jc w:val="both"/>
        <w:rPr>
          <w:sz w:val="26"/>
          <w:szCs w:val="26"/>
        </w:rPr>
      </w:pPr>
      <w:r w:rsidRPr="005443D6">
        <w:rPr>
          <w:sz w:val="26"/>
          <w:szCs w:val="26"/>
        </w:rPr>
        <w:t>Принятие мер по</w:t>
      </w:r>
      <w:r w:rsidR="00A32673" w:rsidRPr="005443D6">
        <w:rPr>
          <w:sz w:val="26"/>
          <w:szCs w:val="26"/>
        </w:rPr>
        <w:t xml:space="preserve"> отдельным</w:t>
      </w:r>
      <w:r w:rsidRPr="005443D6">
        <w:rPr>
          <w:sz w:val="26"/>
          <w:szCs w:val="26"/>
        </w:rPr>
        <w:t xml:space="preserve"> пунктам П</w:t>
      </w:r>
      <w:r w:rsidR="0063341B" w:rsidRPr="005443D6">
        <w:rPr>
          <w:sz w:val="26"/>
          <w:szCs w:val="26"/>
        </w:rPr>
        <w:t>редставления остается на контроле.</w:t>
      </w:r>
    </w:p>
    <w:p w:rsidR="0063341B" w:rsidRPr="005443D6" w:rsidRDefault="0063341B" w:rsidP="00112316">
      <w:pPr>
        <w:ind w:firstLine="708"/>
        <w:jc w:val="both"/>
        <w:rPr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Pr="00F8446D" w:rsidRDefault="0063341B" w:rsidP="0063341B">
      <w:pPr>
        <w:spacing w:after="40"/>
        <w:ind w:firstLine="709"/>
        <w:jc w:val="both"/>
        <w:rPr>
          <w:color w:val="000099"/>
          <w:sz w:val="24"/>
        </w:rPr>
      </w:pPr>
    </w:p>
    <w:p w:rsidR="0063341B" w:rsidRPr="00F8446D" w:rsidRDefault="0063341B" w:rsidP="0063341B">
      <w:pPr>
        <w:spacing w:after="40"/>
        <w:ind w:firstLine="709"/>
        <w:jc w:val="both"/>
        <w:rPr>
          <w:color w:val="000099"/>
          <w:sz w:val="24"/>
          <w:szCs w:val="24"/>
        </w:rPr>
      </w:pPr>
    </w:p>
    <w:p w:rsidR="0063341B" w:rsidRPr="00F8446D" w:rsidRDefault="0063341B" w:rsidP="0063341B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Pr="00F8446D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sectPr w:rsidR="0063341B" w:rsidRPr="00F8446D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75" w:rsidRDefault="00096E75">
      <w:r>
        <w:separator/>
      </w:r>
    </w:p>
  </w:endnote>
  <w:endnote w:type="continuationSeparator" w:id="0">
    <w:p w:rsidR="00096E75" w:rsidRDefault="0009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75" w:rsidRDefault="00096E75">
      <w:r>
        <w:separator/>
      </w:r>
    </w:p>
  </w:footnote>
  <w:footnote w:type="continuationSeparator" w:id="0">
    <w:p w:rsidR="00096E75" w:rsidRDefault="0009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129E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E7A50"/>
    <w:multiLevelType w:val="hybridMultilevel"/>
    <w:tmpl w:val="24E614FA"/>
    <w:lvl w:ilvl="0" w:tplc="F9666204">
      <w:start w:val="1"/>
      <w:numFmt w:val="decimal"/>
      <w:lvlText w:val="%1."/>
      <w:lvlJc w:val="left"/>
      <w:pPr>
        <w:ind w:left="1543" w:hanging="975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32435C"/>
    <w:multiLevelType w:val="hybridMultilevel"/>
    <w:tmpl w:val="3CD4244E"/>
    <w:lvl w:ilvl="0" w:tplc="E6481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1268F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96E75"/>
    <w:rsid w:val="000A3DBD"/>
    <w:rsid w:val="000D65DD"/>
    <w:rsid w:val="000F7C64"/>
    <w:rsid w:val="001005A5"/>
    <w:rsid w:val="00100C8F"/>
    <w:rsid w:val="00101E94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559B7"/>
    <w:rsid w:val="001663AB"/>
    <w:rsid w:val="001809EF"/>
    <w:rsid w:val="0018297E"/>
    <w:rsid w:val="00182E70"/>
    <w:rsid w:val="0019358A"/>
    <w:rsid w:val="00195C28"/>
    <w:rsid w:val="001A3F26"/>
    <w:rsid w:val="001A754B"/>
    <w:rsid w:val="001C3EB1"/>
    <w:rsid w:val="001E1B48"/>
    <w:rsid w:val="001E30C6"/>
    <w:rsid w:val="001F01E9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5B68"/>
    <w:rsid w:val="002A6666"/>
    <w:rsid w:val="002B005D"/>
    <w:rsid w:val="002D443F"/>
    <w:rsid w:val="002E277A"/>
    <w:rsid w:val="00300D3A"/>
    <w:rsid w:val="00311781"/>
    <w:rsid w:val="003251D6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1476"/>
    <w:rsid w:val="003B3B61"/>
    <w:rsid w:val="003B7268"/>
    <w:rsid w:val="003B741C"/>
    <w:rsid w:val="003C0979"/>
    <w:rsid w:val="003D0C82"/>
    <w:rsid w:val="003E1EA6"/>
    <w:rsid w:val="003F661B"/>
    <w:rsid w:val="00404887"/>
    <w:rsid w:val="00424307"/>
    <w:rsid w:val="00424918"/>
    <w:rsid w:val="004508B3"/>
    <w:rsid w:val="00452B6F"/>
    <w:rsid w:val="00463D80"/>
    <w:rsid w:val="00466D10"/>
    <w:rsid w:val="00467DC1"/>
    <w:rsid w:val="00477854"/>
    <w:rsid w:val="004822E2"/>
    <w:rsid w:val="004A0362"/>
    <w:rsid w:val="004A64A2"/>
    <w:rsid w:val="004A7D6F"/>
    <w:rsid w:val="004B129E"/>
    <w:rsid w:val="004D1048"/>
    <w:rsid w:val="004D4E41"/>
    <w:rsid w:val="004E4FFD"/>
    <w:rsid w:val="004E7C2C"/>
    <w:rsid w:val="004F0B82"/>
    <w:rsid w:val="0051433C"/>
    <w:rsid w:val="005239CF"/>
    <w:rsid w:val="00543934"/>
    <w:rsid w:val="005443D6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41B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1B46"/>
    <w:rsid w:val="006C4F76"/>
    <w:rsid w:val="006D29E6"/>
    <w:rsid w:val="006D3317"/>
    <w:rsid w:val="006D7CEE"/>
    <w:rsid w:val="0070009B"/>
    <w:rsid w:val="00705D30"/>
    <w:rsid w:val="00707E7C"/>
    <w:rsid w:val="00714894"/>
    <w:rsid w:val="007179B0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06B12"/>
    <w:rsid w:val="00821D17"/>
    <w:rsid w:val="0083067B"/>
    <w:rsid w:val="00837289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0FFC"/>
    <w:rsid w:val="00957B49"/>
    <w:rsid w:val="009628A2"/>
    <w:rsid w:val="009709E8"/>
    <w:rsid w:val="0097711B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2673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4601E"/>
    <w:rsid w:val="00B54C0F"/>
    <w:rsid w:val="00B57A04"/>
    <w:rsid w:val="00B7340E"/>
    <w:rsid w:val="00B81FCA"/>
    <w:rsid w:val="00B910DC"/>
    <w:rsid w:val="00B92B0C"/>
    <w:rsid w:val="00BA00B9"/>
    <w:rsid w:val="00BA18EC"/>
    <w:rsid w:val="00BC40CB"/>
    <w:rsid w:val="00BE1571"/>
    <w:rsid w:val="00BE2449"/>
    <w:rsid w:val="00BE74F9"/>
    <w:rsid w:val="00BF4A1E"/>
    <w:rsid w:val="00C055C2"/>
    <w:rsid w:val="00C13CEB"/>
    <w:rsid w:val="00C2473E"/>
    <w:rsid w:val="00C2687F"/>
    <w:rsid w:val="00C31441"/>
    <w:rsid w:val="00C32C10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97180"/>
    <w:rsid w:val="00CA470B"/>
    <w:rsid w:val="00CA5B12"/>
    <w:rsid w:val="00CA63F1"/>
    <w:rsid w:val="00CB1403"/>
    <w:rsid w:val="00CC4A4C"/>
    <w:rsid w:val="00CC73C6"/>
    <w:rsid w:val="00CD1D64"/>
    <w:rsid w:val="00CD3CAE"/>
    <w:rsid w:val="00CD5972"/>
    <w:rsid w:val="00CE0802"/>
    <w:rsid w:val="00CE1175"/>
    <w:rsid w:val="00CE35B6"/>
    <w:rsid w:val="00CE6133"/>
    <w:rsid w:val="00CE756E"/>
    <w:rsid w:val="00D01FF1"/>
    <w:rsid w:val="00D026AD"/>
    <w:rsid w:val="00D110A9"/>
    <w:rsid w:val="00D12E02"/>
    <w:rsid w:val="00D17309"/>
    <w:rsid w:val="00D21623"/>
    <w:rsid w:val="00D4059F"/>
    <w:rsid w:val="00D42A64"/>
    <w:rsid w:val="00D42D64"/>
    <w:rsid w:val="00D544EA"/>
    <w:rsid w:val="00D56FBE"/>
    <w:rsid w:val="00D634A9"/>
    <w:rsid w:val="00D64F81"/>
    <w:rsid w:val="00D65567"/>
    <w:rsid w:val="00D657CD"/>
    <w:rsid w:val="00D95F33"/>
    <w:rsid w:val="00DA1AA2"/>
    <w:rsid w:val="00DB129F"/>
    <w:rsid w:val="00DB360D"/>
    <w:rsid w:val="00DB6B3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73535"/>
    <w:rsid w:val="00E86B70"/>
    <w:rsid w:val="00E94F6B"/>
    <w:rsid w:val="00EB557B"/>
    <w:rsid w:val="00EC597C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60BF4"/>
    <w:rsid w:val="00F8446D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B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B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25</cp:revision>
  <cp:lastPrinted>2024-02-27T05:32:00Z</cp:lastPrinted>
  <dcterms:created xsi:type="dcterms:W3CDTF">2023-09-11T05:48:00Z</dcterms:created>
  <dcterms:modified xsi:type="dcterms:W3CDTF">2024-02-27T07:10:00Z</dcterms:modified>
</cp:coreProperties>
</file>